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0C" w:rsidRDefault="004E550C" w:rsidP="004E550C">
      <w:pPr>
        <w:spacing w:after="0" w:line="240" w:lineRule="auto"/>
        <w:ind w:firstLine="0"/>
        <w:jc w:val="center"/>
        <w:outlineLvl w:val="0"/>
      </w:pPr>
      <w:r>
        <w:t>Facoltà Teologica di Sicilia “San Giovanni Evangelista”</w:t>
      </w:r>
    </w:p>
    <w:p w:rsidR="007E3D73" w:rsidRDefault="004E550C" w:rsidP="004E550C">
      <w:pPr>
        <w:spacing w:after="0" w:line="240" w:lineRule="auto"/>
        <w:ind w:firstLine="0"/>
        <w:jc w:val="center"/>
        <w:outlineLvl w:val="0"/>
      </w:pPr>
      <w:r>
        <w:t>IT Corso Istituzionale di Teologia – Palermo</w:t>
      </w:r>
    </w:p>
    <w:p w:rsidR="004E550C" w:rsidRDefault="004E550C" w:rsidP="004E550C">
      <w:pPr>
        <w:spacing w:after="0" w:line="240" w:lineRule="auto"/>
        <w:ind w:firstLine="0"/>
        <w:jc w:val="center"/>
        <w:outlineLvl w:val="0"/>
      </w:pPr>
    </w:p>
    <w:p w:rsidR="00632960" w:rsidRDefault="00632960" w:rsidP="004E550C">
      <w:pPr>
        <w:spacing w:after="0" w:line="240" w:lineRule="auto"/>
        <w:ind w:firstLine="0"/>
        <w:jc w:val="center"/>
        <w:outlineLvl w:val="0"/>
      </w:pPr>
      <w:r>
        <w:t>AA 202</w:t>
      </w:r>
      <w:r w:rsidR="00033AB7">
        <w:t>4</w:t>
      </w:r>
      <w:r>
        <w:t>-202</w:t>
      </w:r>
      <w:r w:rsidR="00033AB7">
        <w:t>5</w:t>
      </w:r>
    </w:p>
    <w:p w:rsidR="00033AB7" w:rsidRPr="004E550C" w:rsidRDefault="00033AB7" w:rsidP="004E550C">
      <w:pPr>
        <w:spacing w:after="0" w:line="240" w:lineRule="auto"/>
        <w:ind w:firstLine="0"/>
        <w:jc w:val="center"/>
        <w:outlineLvl w:val="0"/>
      </w:pPr>
    </w:p>
    <w:p w:rsidR="007D7146" w:rsidRPr="004E550C" w:rsidRDefault="00033AB7" w:rsidP="00AB6571">
      <w:pPr>
        <w:spacing w:after="0" w:line="240" w:lineRule="auto"/>
        <w:ind w:firstLine="0"/>
        <w:outlineLvl w:val="0"/>
      </w:pPr>
      <w:r>
        <w:rPr>
          <w:b/>
        </w:rPr>
        <w:t>Ermeneutica filosofica</w:t>
      </w:r>
      <w:r w:rsidR="004E550C">
        <w:t xml:space="preserve"> (</w:t>
      </w:r>
      <w:r w:rsidR="004E550C">
        <w:rPr>
          <w:i/>
        </w:rPr>
        <w:t>p</w:t>
      </w:r>
      <w:r w:rsidR="007D7146" w:rsidRPr="004E550C">
        <w:rPr>
          <w:i/>
        </w:rPr>
        <w:t>rof. Salvatore Rindone</w:t>
      </w:r>
      <w:r w:rsidR="004E550C">
        <w:t>)</w:t>
      </w:r>
    </w:p>
    <w:p w:rsidR="003253D9" w:rsidRDefault="003253D9" w:rsidP="007E3D73">
      <w:pPr>
        <w:spacing w:after="0" w:line="240" w:lineRule="auto"/>
        <w:ind w:firstLine="0"/>
        <w:rPr>
          <w:bCs/>
        </w:rPr>
      </w:pPr>
    </w:p>
    <w:p w:rsidR="00F81B0D" w:rsidRDefault="00F81B0D" w:rsidP="007E3D73">
      <w:pPr>
        <w:spacing w:after="0" w:line="240" w:lineRule="auto"/>
        <w:ind w:firstLine="0"/>
        <w:rPr>
          <w:b/>
          <w:bCs/>
        </w:rPr>
      </w:pPr>
      <w:r w:rsidRPr="00F81B0D">
        <w:rPr>
          <w:b/>
          <w:bCs/>
        </w:rPr>
        <w:t>Programma:</w:t>
      </w:r>
    </w:p>
    <w:p w:rsidR="00B14AFA" w:rsidRPr="00EA7535" w:rsidRDefault="00B14AFA" w:rsidP="007E3D73">
      <w:pPr>
        <w:spacing w:after="0" w:line="240" w:lineRule="auto"/>
        <w:ind w:firstLine="0"/>
        <w:rPr>
          <w:bCs/>
        </w:rPr>
      </w:pPr>
    </w:p>
    <w:p w:rsidR="000C5DA0" w:rsidRPr="00B14AFA" w:rsidRDefault="0054312E" w:rsidP="00F81B0D">
      <w:pPr>
        <w:numPr>
          <w:ilvl w:val="0"/>
          <w:numId w:val="12"/>
        </w:numPr>
        <w:spacing w:after="0" w:line="240" w:lineRule="auto"/>
        <w:rPr>
          <w:b/>
          <w:bCs/>
          <w:lang w:val="en-GB"/>
        </w:rPr>
      </w:pPr>
      <w:r w:rsidRPr="00B14AFA">
        <w:rPr>
          <w:b/>
          <w:bCs/>
        </w:rPr>
        <w:t>Introduzione all’ermeneutica filosofica</w:t>
      </w:r>
    </w:p>
    <w:p w:rsidR="00EA7535" w:rsidRPr="00B14AFA" w:rsidRDefault="00EA7535" w:rsidP="00EA7535">
      <w:pPr>
        <w:numPr>
          <w:ilvl w:val="1"/>
          <w:numId w:val="21"/>
        </w:numPr>
        <w:spacing w:after="0" w:line="240" w:lineRule="auto"/>
        <w:ind w:left="1418" w:hanging="357"/>
        <w:rPr>
          <w:bCs/>
        </w:rPr>
      </w:pPr>
      <w:r w:rsidRPr="00B14AFA">
        <w:rPr>
          <w:bCs/>
        </w:rPr>
        <w:t>Definizione generale</w:t>
      </w:r>
      <w:r w:rsidR="00B14AFA" w:rsidRPr="00B14AFA">
        <w:rPr>
          <w:bCs/>
        </w:rPr>
        <w:t xml:space="preserve">, </w:t>
      </w:r>
      <w:r w:rsidRPr="00B14AFA">
        <w:rPr>
          <w:bCs/>
        </w:rPr>
        <w:t>Etimologia</w:t>
      </w:r>
      <w:r w:rsidR="00B14AFA" w:rsidRPr="00B14AFA">
        <w:rPr>
          <w:bCs/>
        </w:rPr>
        <w:t xml:space="preserve">, </w:t>
      </w:r>
      <w:r w:rsidR="00B14AFA">
        <w:rPr>
          <w:bCs/>
        </w:rPr>
        <w:t xml:space="preserve">il </w:t>
      </w:r>
      <w:r w:rsidRPr="00B14AFA">
        <w:rPr>
          <w:bCs/>
        </w:rPr>
        <w:t>Περὶ Ἑρμηνείας di Aristotele</w:t>
      </w:r>
      <w:r w:rsidR="00B14AFA" w:rsidRPr="00B14AFA">
        <w:rPr>
          <w:bCs/>
        </w:rPr>
        <w:t>, i</w:t>
      </w:r>
      <w:r w:rsidRPr="00B14AFA">
        <w:rPr>
          <w:bCs/>
        </w:rPr>
        <w:t>l Dio ῾Ερμῆς (Hermes)</w:t>
      </w:r>
      <w:r w:rsidR="00B14AFA">
        <w:rPr>
          <w:bCs/>
        </w:rPr>
        <w:t xml:space="preserve"> di Platone</w:t>
      </w:r>
      <w:r w:rsidR="00B14AFA" w:rsidRPr="00B14AFA">
        <w:rPr>
          <w:bCs/>
        </w:rPr>
        <w:t xml:space="preserve">, </w:t>
      </w:r>
      <w:r w:rsidR="00B14AFA">
        <w:rPr>
          <w:bCs/>
        </w:rPr>
        <w:t>d</w:t>
      </w:r>
      <w:r w:rsidRPr="00B14AFA">
        <w:rPr>
          <w:bCs/>
        </w:rPr>
        <w:t>ifferenza tra Aristotele e Platone</w:t>
      </w:r>
      <w:r w:rsidR="00B14AFA" w:rsidRPr="00B14AFA">
        <w:rPr>
          <w:bCs/>
        </w:rPr>
        <w:t xml:space="preserve">, </w:t>
      </w:r>
      <w:r w:rsidR="00B14AFA">
        <w:rPr>
          <w:bCs/>
        </w:rPr>
        <w:t>d</w:t>
      </w:r>
      <w:r w:rsidRPr="00B14AFA">
        <w:rPr>
          <w:bCs/>
        </w:rPr>
        <w:t>a disciplina metodica a disciplina filosofica</w:t>
      </w:r>
    </w:p>
    <w:p w:rsidR="00B14AFA" w:rsidRDefault="00B14AFA" w:rsidP="00B14AFA">
      <w:pPr>
        <w:spacing w:after="0" w:line="240" w:lineRule="auto"/>
        <w:ind w:left="720" w:firstLine="0"/>
        <w:rPr>
          <w:bCs/>
        </w:rPr>
      </w:pPr>
    </w:p>
    <w:p w:rsidR="000C5DA0" w:rsidRPr="00B14AFA" w:rsidRDefault="0054312E" w:rsidP="00F81B0D">
      <w:pPr>
        <w:numPr>
          <w:ilvl w:val="0"/>
          <w:numId w:val="12"/>
        </w:numPr>
        <w:spacing w:after="0" w:line="240" w:lineRule="auto"/>
        <w:rPr>
          <w:b/>
          <w:bCs/>
        </w:rPr>
      </w:pPr>
      <w:r w:rsidRPr="00B14AFA">
        <w:rPr>
          <w:b/>
          <w:bCs/>
        </w:rPr>
        <w:t>Von Humboldt, Schleiermacher e Dilthey: l’ermeneutica come disciplina filosofica</w:t>
      </w:r>
    </w:p>
    <w:p w:rsidR="00EA7535" w:rsidRPr="00B14AFA" w:rsidRDefault="00EA7535" w:rsidP="00EA7535">
      <w:pPr>
        <w:numPr>
          <w:ilvl w:val="0"/>
          <w:numId w:val="22"/>
        </w:numPr>
        <w:spacing w:after="0" w:line="240" w:lineRule="auto"/>
        <w:ind w:left="1418"/>
        <w:rPr>
          <w:bCs/>
        </w:rPr>
      </w:pPr>
      <w:r w:rsidRPr="00B14AFA">
        <w:rPr>
          <w:bCs/>
        </w:rPr>
        <w:t>L’origine teologica dell’ermeneutica</w:t>
      </w:r>
      <w:r w:rsidR="00B14AFA" w:rsidRPr="00B14AFA">
        <w:rPr>
          <w:bCs/>
        </w:rPr>
        <w:t xml:space="preserve">, </w:t>
      </w:r>
      <w:r w:rsidRPr="00B14AFA">
        <w:rPr>
          <w:bCs/>
        </w:rPr>
        <w:t>Il Nuovo Testamento</w:t>
      </w:r>
      <w:r w:rsidR="00B14AFA" w:rsidRPr="00B14AFA">
        <w:rPr>
          <w:bCs/>
        </w:rPr>
        <w:t xml:space="preserve">, </w:t>
      </w:r>
      <w:r w:rsidRPr="00B14AFA">
        <w:rPr>
          <w:bCs/>
        </w:rPr>
        <w:t>Parola e verità: il logos</w:t>
      </w:r>
      <w:r w:rsidR="00B14AFA" w:rsidRPr="00B14AFA">
        <w:rPr>
          <w:bCs/>
        </w:rPr>
        <w:t xml:space="preserve">, </w:t>
      </w:r>
      <w:r w:rsidRPr="00B14AFA">
        <w:rPr>
          <w:bCs/>
        </w:rPr>
        <w:t>La concezione del linguaggio in epoca romantica</w:t>
      </w:r>
    </w:p>
    <w:p w:rsidR="00EA7535" w:rsidRPr="00B14AFA" w:rsidRDefault="00B14AFA" w:rsidP="00EA7535">
      <w:pPr>
        <w:numPr>
          <w:ilvl w:val="0"/>
          <w:numId w:val="22"/>
        </w:numPr>
        <w:spacing w:after="0" w:line="240" w:lineRule="auto"/>
        <w:ind w:left="1418"/>
        <w:rPr>
          <w:bCs/>
        </w:rPr>
      </w:pPr>
      <w:r w:rsidRPr="00B14AFA">
        <w:rPr>
          <w:bCs/>
        </w:rPr>
        <w:t xml:space="preserve">Von Humboldt: </w:t>
      </w:r>
      <w:r w:rsidR="00EA7535" w:rsidRPr="00B14AFA">
        <w:rPr>
          <w:bCs/>
        </w:rPr>
        <w:t>Distinzione tra ergon (linguaggio) ed energheia (lingua)</w:t>
      </w:r>
      <w:r w:rsidRPr="00B14AFA">
        <w:rPr>
          <w:bCs/>
        </w:rPr>
        <w:t xml:space="preserve">, </w:t>
      </w:r>
      <w:r w:rsidR="00EA7535" w:rsidRPr="00B14AFA">
        <w:rPr>
          <w:bCs/>
        </w:rPr>
        <w:t>Il linguaggio è l’organo formativo del pensiero</w:t>
      </w:r>
      <w:r w:rsidRPr="00B14AFA">
        <w:rPr>
          <w:bCs/>
        </w:rPr>
        <w:t xml:space="preserve">, </w:t>
      </w:r>
      <w:r w:rsidR="00EA7535" w:rsidRPr="00B14AFA">
        <w:rPr>
          <w:bCs/>
        </w:rPr>
        <w:t>Il linguaggio è un prodotto spirituale dell’uomo</w:t>
      </w:r>
    </w:p>
    <w:p w:rsidR="00EA7535" w:rsidRPr="00B14AFA" w:rsidRDefault="00B14AFA" w:rsidP="00EA7535">
      <w:pPr>
        <w:numPr>
          <w:ilvl w:val="0"/>
          <w:numId w:val="22"/>
        </w:numPr>
        <w:spacing w:after="0" w:line="240" w:lineRule="auto"/>
        <w:ind w:left="1418"/>
        <w:rPr>
          <w:bCs/>
        </w:rPr>
      </w:pPr>
      <w:r w:rsidRPr="00B14AFA">
        <w:rPr>
          <w:bCs/>
        </w:rPr>
        <w:t xml:space="preserve">Schleiermacher: </w:t>
      </w:r>
      <w:r w:rsidR="00EA7535" w:rsidRPr="00B14AFA">
        <w:rPr>
          <w:bCs/>
        </w:rPr>
        <w:t>Padre dell’ermeneutica contemporanea</w:t>
      </w:r>
      <w:r w:rsidRPr="00B14AFA">
        <w:rPr>
          <w:bCs/>
        </w:rPr>
        <w:t xml:space="preserve">, </w:t>
      </w:r>
      <w:r w:rsidR="00EA7535" w:rsidRPr="00B14AFA">
        <w:rPr>
          <w:bCs/>
        </w:rPr>
        <w:t>Esegesi filologica e dogmatica</w:t>
      </w:r>
      <w:r w:rsidRPr="00B14AFA">
        <w:rPr>
          <w:bCs/>
        </w:rPr>
        <w:t xml:space="preserve">, </w:t>
      </w:r>
      <w:r w:rsidR="00EA7535" w:rsidRPr="00B14AFA">
        <w:rPr>
          <w:bCs/>
        </w:rPr>
        <w:t>Circolo</w:t>
      </w:r>
      <w:r w:rsidRPr="00B14AFA">
        <w:rPr>
          <w:bCs/>
        </w:rPr>
        <w:t xml:space="preserve"> ermeneutico e Spirito Creatore, </w:t>
      </w:r>
      <w:r w:rsidR="00EA7535" w:rsidRPr="00B14AFA">
        <w:rPr>
          <w:bCs/>
        </w:rPr>
        <w:t>L’intuizione (Einfühlung)</w:t>
      </w:r>
      <w:r w:rsidRPr="00B14AFA">
        <w:rPr>
          <w:bCs/>
        </w:rPr>
        <w:t xml:space="preserve">, </w:t>
      </w:r>
      <w:r w:rsidR="00EA7535" w:rsidRPr="00B14AFA">
        <w:rPr>
          <w:bCs/>
        </w:rPr>
        <w:t>Relazione tra pensiero e linguaggio</w:t>
      </w:r>
      <w:r w:rsidRPr="00B14AFA">
        <w:rPr>
          <w:bCs/>
        </w:rPr>
        <w:t xml:space="preserve">, </w:t>
      </w:r>
      <w:r w:rsidR="00EA7535" w:rsidRPr="00B14AFA">
        <w:rPr>
          <w:bCs/>
        </w:rPr>
        <w:t>Staticità della lingua e dinamicità del linguaggio</w:t>
      </w:r>
      <w:r w:rsidRPr="00B14AFA">
        <w:rPr>
          <w:bCs/>
        </w:rPr>
        <w:t xml:space="preserve">, </w:t>
      </w:r>
      <w:r w:rsidR="00EA7535" w:rsidRPr="00B14AFA">
        <w:rPr>
          <w:bCs/>
        </w:rPr>
        <w:t>La comunità luogo del linguaggio</w:t>
      </w:r>
    </w:p>
    <w:p w:rsidR="00B14AFA" w:rsidRDefault="00B14AFA" w:rsidP="00EA7535">
      <w:pPr>
        <w:numPr>
          <w:ilvl w:val="0"/>
          <w:numId w:val="22"/>
        </w:numPr>
        <w:spacing w:after="0" w:line="240" w:lineRule="auto"/>
        <w:ind w:left="1418"/>
        <w:rPr>
          <w:bCs/>
        </w:rPr>
      </w:pPr>
      <w:r w:rsidRPr="00B14AFA">
        <w:rPr>
          <w:bCs/>
        </w:rPr>
        <w:t xml:space="preserve">Dilthey: </w:t>
      </w:r>
      <w:r w:rsidR="00EA7535" w:rsidRPr="00B14AFA">
        <w:rPr>
          <w:bCs/>
        </w:rPr>
        <w:t>Scienze dello spirito e scienze della natura</w:t>
      </w:r>
      <w:r w:rsidRPr="00B14AFA">
        <w:rPr>
          <w:bCs/>
        </w:rPr>
        <w:t xml:space="preserve">, </w:t>
      </w:r>
      <w:r w:rsidR="00EA7535" w:rsidRPr="00B14AFA">
        <w:rPr>
          <w:bCs/>
        </w:rPr>
        <w:t>Spiegare (erklaren) e comprendere (verstehen)</w:t>
      </w:r>
      <w:r w:rsidRPr="00B14AFA">
        <w:rPr>
          <w:bCs/>
        </w:rPr>
        <w:t xml:space="preserve">, </w:t>
      </w:r>
      <w:r w:rsidR="00EA7535" w:rsidRPr="00B14AFA">
        <w:rPr>
          <w:bCs/>
        </w:rPr>
        <w:t>Ermeneutica come filosofia della comprensione</w:t>
      </w:r>
      <w:r w:rsidRPr="00B14AFA">
        <w:rPr>
          <w:bCs/>
        </w:rPr>
        <w:t xml:space="preserve">, </w:t>
      </w:r>
      <w:r w:rsidR="00EA7535" w:rsidRPr="00B14AFA">
        <w:rPr>
          <w:bCs/>
        </w:rPr>
        <w:t>L’ermeneutica della vita (Leben, Erleben, Erlebnis)</w:t>
      </w:r>
      <w:r w:rsidRPr="00B14AFA">
        <w:rPr>
          <w:bCs/>
        </w:rPr>
        <w:t xml:space="preserve">, </w:t>
      </w:r>
      <w:r w:rsidR="00EA7535" w:rsidRPr="00B14AFA">
        <w:rPr>
          <w:bCs/>
        </w:rPr>
        <w:t>Ermeneutica della finitezza (o esistenza) storica</w:t>
      </w:r>
      <w:r w:rsidRPr="00B14AFA">
        <w:rPr>
          <w:bCs/>
        </w:rPr>
        <w:t xml:space="preserve">, </w:t>
      </w:r>
      <w:r w:rsidR="00EA7535" w:rsidRPr="00B14AFA">
        <w:rPr>
          <w:bCs/>
        </w:rPr>
        <w:t>Differen</w:t>
      </w:r>
      <w:r w:rsidRPr="00B14AFA">
        <w:rPr>
          <w:bCs/>
        </w:rPr>
        <w:t xml:space="preserve">za tra Schleiermacher e Dilthey, </w:t>
      </w:r>
      <w:r w:rsidR="00EA7535" w:rsidRPr="00B14AFA">
        <w:rPr>
          <w:bCs/>
        </w:rPr>
        <w:t>Ermeneutica e storia</w:t>
      </w:r>
    </w:p>
    <w:p w:rsidR="00EA7535" w:rsidRPr="00B14AFA" w:rsidRDefault="00B14AFA" w:rsidP="00EA7535">
      <w:pPr>
        <w:numPr>
          <w:ilvl w:val="0"/>
          <w:numId w:val="22"/>
        </w:numPr>
        <w:spacing w:after="0" w:line="240" w:lineRule="auto"/>
        <w:ind w:left="1418"/>
        <w:rPr>
          <w:bCs/>
        </w:rPr>
      </w:pPr>
      <w:r w:rsidRPr="00B14AFA">
        <w:rPr>
          <w:bCs/>
        </w:rPr>
        <w:t xml:space="preserve">Conclusione: </w:t>
      </w:r>
      <w:r w:rsidR="00EA7535" w:rsidRPr="00B14AFA">
        <w:rPr>
          <w:bCs/>
        </w:rPr>
        <w:t>Tutto è storia perche tutto è linguaggio</w:t>
      </w:r>
      <w:r w:rsidRPr="00B14AFA">
        <w:rPr>
          <w:bCs/>
        </w:rPr>
        <w:t xml:space="preserve">, </w:t>
      </w:r>
      <w:r w:rsidR="00EA7535" w:rsidRPr="00B14AFA">
        <w:rPr>
          <w:bCs/>
        </w:rPr>
        <w:t>Comprendere o interpretare?</w:t>
      </w:r>
      <w:r w:rsidRPr="00B14AFA">
        <w:rPr>
          <w:bCs/>
        </w:rPr>
        <w:t xml:space="preserve">, </w:t>
      </w:r>
      <w:r w:rsidR="00EA7535" w:rsidRPr="00B14AFA">
        <w:rPr>
          <w:bCs/>
        </w:rPr>
        <w:t>Il primato filosofico del linguaggio sulla lingua</w:t>
      </w:r>
      <w:r w:rsidRPr="00B14AFA">
        <w:rPr>
          <w:bCs/>
        </w:rPr>
        <w:t xml:space="preserve">, </w:t>
      </w:r>
      <w:r w:rsidR="00EA7535" w:rsidRPr="00B14AFA">
        <w:rPr>
          <w:bCs/>
        </w:rPr>
        <w:t>La funzione ermeneutica della parola</w:t>
      </w:r>
    </w:p>
    <w:p w:rsidR="00B14AFA" w:rsidRDefault="00B14AFA" w:rsidP="00B14AFA">
      <w:pPr>
        <w:spacing w:after="0" w:line="240" w:lineRule="auto"/>
        <w:ind w:left="1418" w:firstLine="0"/>
        <w:rPr>
          <w:bCs/>
        </w:rPr>
      </w:pPr>
    </w:p>
    <w:p w:rsidR="00B14AFA" w:rsidRDefault="00B14AFA" w:rsidP="00B14AFA">
      <w:pPr>
        <w:spacing w:after="0" w:line="240" w:lineRule="auto"/>
        <w:ind w:left="1418" w:firstLine="0"/>
        <w:rPr>
          <w:bCs/>
        </w:rPr>
      </w:pPr>
    </w:p>
    <w:p w:rsidR="000C5DA0" w:rsidRPr="00B14AFA" w:rsidRDefault="0054312E" w:rsidP="00B14AFA">
      <w:pPr>
        <w:numPr>
          <w:ilvl w:val="0"/>
          <w:numId w:val="12"/>
        </w:numPr>
        <w:spacing w:after="0" w:line="240" w:lineRule="auto"/>
        <w:ind w:left="709"/>
        <w:rPr>
          <w:b/>
          <w:bCs/>
        </w:rPr>
      </w:pPr>
      <w:r w:rsidRPr="00B14AFA">
        <w:rPr>
          <w:b/>
          <w:bCs/>
        </w:rPr>
        <w:t>Nietzsche e la lettura interpretativa dei fatti</w:t>
      </w:r>
    </w:p>
    <w:p w:rsidR="00EA7535" w:rsidRPr="00B14AFA" w:rsidRDefault="00EA7535" w:rsidP="00B14AFA">
      <w:pPr>
        <w:numPr>
          <w:ilvl w:val="0"/>
          <w:numId w:val="23"/>
        </w:numPr>
        <w:spacing w:after="0" w:line="240" w:lineRule="auto"/>
        <w:ind w:left="1418"/>
        <w:rPr>
          <w:bCs/>
        </w:rPr>
      </w:pPr>
      <w:r w:rsidRPr="00B14AFA">
        <w:rPr>
          <w:bCs/>
        </w:rPr>
        <w:t>Il nichilismo ermeneutico</w:t>
      </w:r>
      <w:r w:rsidR="00B14AFA" w:rsidRPr="00B14AFA">
        <w:rPr>
          <w:bCs/>
        </w:rPr>
        <w:t xml:space="preserve">, </w:t>
      </w:r>
      <w:r w:rsidRPr="00B14AFA">
        <w:rPr>
          <w:bCs/>
        </w:rPr>
        <w:t>La separazione fra parole e cose</w:t>
      </w:r>
      <w:r w:rsidR="00B14AFA" w:rsidRPr="00B14AFA">
        <w:rPr>
          <w:bCs/>
        </w:rPr>
        <w:t xml:space="preserve">, </w:t>
      </w:r>
      <w:r w:rsidRPr="00B14AFA">
        <w:rPr>
          <w:bCs/>
        </w:rPr>
        <w:t xml:space="preserve">Perdita di </w:t>
      </w:r>
      <w:r w:rsidR="00B14AFA" w:rsidRPr="00B14AFA">
        <w:rPr>
          <w:bCs/>
        </w:rPr>
        <w:t xml:space="preserve">mondo, </w:t>
      </w:r>
      <w:r w:rsidRPr="00B14AFA">
        <w:rPr>
          <w:bCs/>
        </w:rPr>
        <w:t>Guadagno di mondo</w:t>
      </w:r>
    </w:p>
    <w:p w:rsidR="00B14AFA" w:rsidRDefault="00B14AFA" w:rsidP="00B14AFA">
      <w:pPr>
        <w:spacing w:after="0" w:line="240" w:lineRule="auto"/>
        <w:ind w:left="720" w:firstLine="0"/>
        <w:rPr>
          <w:bCs/>
        </w:rPr>
      </w:pPr>
    </w:p>
    <w:p w:rsidR="00B14AFA" w:rsidRDefault="00B14AFA" w:rsidP="00B14AFA">
      <w:pPr>
        <w:spacing w:after="0" w:line="240" w:lineRule="auto"/>
        <w:ind w:left="720" w:firstLine="0"/>
        <w:rPr>
          <w:bCs/>
        </w:rPr>
      </w:pPr>
    </w:p>
    <w:p w:rsidR="00B14AFA" w:rsidRDefault="00B14AFA" w:rsidP="00B14AFA">
      <w:pPr>
        <w:spacing w:after="0" w:line="240" w:lineRule="auto"/>
        <w:ind w:left="720" w:firstLine="0"/>
        <w:rPr>
          <w:bCs/>
        </w:rPr>
      </w:pPr>
    </w:p>
    <w:p w:rsidR="000C5DA0" w:rsidRPr="00B14AFA" w:rsidRDefault="0054312E" w:rsidP="00F81B0D">
      <w:pPr>
        <w:numPr>
          <w:ilvl w:val="0"/>
          <w:numId w:val="12"/>
        </w:numPr>
        <w:spacing w:after="0" w:line="240" w:lineRule="auto"/>
        <w:rPr>
          <w:b/>
          <w:bCs/>
        </w:rPr>
      </w:pPr>
      <w:r w:rsidRPr="00B14AFA">
        <w:rPr>
          <w:b/>
          <w:bCs/>
        </w:rPr>
        <w:t>Heidegger e il legame tra essere e linguaggio</w:t>
      </w:r>
    </w:p>
    <w:p w:rsidR="00B14AFA" w:rsidRDefault="00EA7535" w:rsidP="00B14AFA">
      <w:pPr>
        <w:numPr>
          <w:ilvl w:val="0"/>
          <w:numId w:val="23"/>
        </w:numPr>
        <w:spacing w:after="0" w:line="240" w:lineRule="auto"/>
        <w:ind w:left="1418"/>
        <w:rPr>
          <w:bCs/>
        </w:rPr>
      </w:pPr>
      <w:r w:rsidRPr="00B14AFA">
        <w:rPr>
          <w:bCs/>
          <w:i/>
        </w:rPr>
        <w:t>Sein und Zeit</w:t>
      </w:r>
      <w:r w:rsidRPr="00B14AFA">
        <w:rPr>
          <w:bCs/>
        </w:rPr>
        <w:t xml:space="preserve"> (1927)</w:t>
      </w:r>
      <w:r w:rsidR="00B14AFA" w:rsidRPr="00B14AFA">
        <w:rPr>
          <w:bCs/>
        </w:rPr>
        <w:t xml:space="preserve">, Oltre Dilthey, </w:t>
      </w:r>
      <w:r w:rsidRPr="00B14AFA">
        <w:rPr>
          <w:bCs/>
        </w:rPr>
        <w:t>Apertura dell’essere</w:t>
      </w:r>
      <w:r w:rsidR="00B14AFA" w:rsidRPr="00B14AFA">
        <w:rPr>
          <w:bCs/>
        </w:rPr>
        <w:t xml:space="preserve">, </w:t>
      </w:r>
      <w:r w:rsidRPr="00B14AFA">
        <w:rPr>
          <w:bCs/>
        </w:rPr>
        <w:t>Da storicità a temporalità</w:t>
      </w:r>
      <w:r w:rsidR="00B14AFA" w:rsidRPr="00B14AFA">
        <w:rPr>
          <w:bCs/>
        </w:rPr>
        <w:t xml:space="preserve">, </w:t>
      </w:r>
      <w:r w:rsidRPr="00B14AFA">
        <w:rPr>
          <w:bCs/>
        </w:rPr>
        <w:t>L’ontologia della parola</w:t>
      </w:r>
      <w:r w:rsidR="00B14AFA" w:rsidRPr="00B14AFA">
        <w:rPr>
          <w:bCs/>
        </w:rPr>
        <w:t>,</w:t>
      </w:r>
      <w:r w:rsidRPr="00B14AFA">
        <w:rPr>
          <w:bCs/>
        </w:rPr>
        <w:t>La «differenza ontologica»</w:t>
      </w:r>
      <w:r w:rsidR="00B14AFA" w:rsidRPr="00B14AFA">
        <w:rPr>
          <w:bCs/>
        </w:rPr>
        <w:t xml:space="preserve">, </w:t>
      </w:r>
      <w:r w:rsidRPr="00B14AFA">
        <w:rPr>
          <w:bCs/>
        </w:rPr>
        <w:t>Il pensiero della differenza</w:t>
      </w:r>
      <w:r w:rsidR="00B14AFA" w:rsidRPr="00B14AFA">
        <w:rPr>
          <w:bCs/>
        </w:rPr>
        <w:t xml:space="preserve">, </w:t>
      </w:r>
      <w:r w:rsidRPr="00B14AFA">
        <w:rPr>
          <w:bCs/>
        </w:rPr>
        <w:t>Essere come evento (Ereignis)</w:t>
      </w:r>
      <w:r w:rsidR="00B14AFA" w:rsidRPr="00B14AFA">
        <w:rPr>
          <w:bCs/>
        </w:rPr>
        <w:t xml:space="preserve">, </w:t>
      </w:r>
      <w:r w:rsidRPr="00B14AFA">
        <w:rPr>
          <w:bCs/>
        </w:rPr>
        <w:t>Verità come disvelamento (Wahrheit)</w:t>
      </w:r>
    </w:p>
    <w:p w:rsidR="00EA7535" w:rsidRDefault="00EA7535" w:rsidP="00B14AFA">
      <w:pPr>
        <w:numPr>
          <w:ilvl w:val="0"/>
          <w:numId w:val="23"/>
        </w:numPr>
        <w:spacing w:after="0" w:line="240" w:lineRule="auto"/>
        <w:ind w:left="1418"/>
        <w:rPr>
          <w:bCs/>
        </w:rPr>
      </w:pPr>
      <w:r w:rsidRPr="00B14AFA">
        <w:rPr>
          <w:bCs/>
        </w:rPr>
        <w:t>Il nichilismo di Heidegger</w:t>
      </w:r>
    </w:p>
    <w:p w:rsidR="00B14AFA" w:rsidRPr="00B14AFA" w:rsidRDefault="00B14AFA" w:rsidP="00B14AFA">
      <w:pPr>
        <w:spacing w:after="0" w:line="240" w:lineRule="auto"/>
        <w:ind w:left="1418" w:firstLine="0"/>
        <w:rPr>
          <w:bCs/>
        </w:rPr>
      </w:pPr>
    </w:p>
    <w:p w:rsidR="000C5DA0" w:rsidRPr="00B14AFA" w:rsidRDefault="0054312E" w:rsidP="00F81B0D">
      <w:pPr>
        <w:numPr>
          <w:ilvl w:val="0"/>
          <w:numId w:val="12"/>
        </w:numPr>
        <w:spacing w:after="0" w:line="240" w:lineRule="auto"/>
        <w:rPr>
          <w:b/>
          <w:bCs/>
        </w:rPr>
      </w:pPr>
      <w:r w:rsidRPr="00B14AFA">
        <w:rPr>
          <w:b/>
          <w:bCs/>
        </w:rPr>
        <w:t>Gadamer e la filosofia come ermeneutica</w:t>
      </w:r>
    </w:p>
    <w:p w:rsidR="00EA7535" w:rsidRPr="00B14AFA" w:rsidRDefault="00EA7535" w:rsidP="00B14AFA">
      <w:pPr>
        <w:numPr>
          <w:ilvl w:val="0"/>
          <w:numId w:val="24"/>
        </w:numPr>
        <w:spacing w:after="0" w:line="240" w:lineRule="auto"/>
        <w:ind w:left="1418"/>
        <w:rPr>
          <w:bCs/>
        </w:rPr>
      </w:pPr>
      <w:r w:rsidRPr="00B14AFA">
        <w:rPr>
          <w:bCs/>
        </w:rPr>
        <w:t>La comprensione prima e dopo Heidegger</w:t>
      </w:r>
      <w:r w:rsidR="00B14AFA" w:rsidRPr="00B14AFA">
        <w:rPr>
          <w:bCs/>
        </w:rPr>
        <w:t xml:space="preserve">, </w:t>
      </w:r>
      <w:r w:rsidRPr="00B14AFA">
        <w:rPr>
          <w:bCs/>
        </w:rPr>
        <w:t>Ermeneutica e finitezza (Endlichkeit)</w:t>
      </w:r>
      <w:r w:rsidR="00B14AFA" w:rsidRPr="00B14AFA">
        <w:rPr>
          <w:bCs/>
        </w:rPr>
        <w:t xml:space="preserve">, </w:t>
      </w:r>
      <w:r w:rsidRPr="00B14AFA">
        <w:rPr>
          <w:bCs/>
          <w:i/>
        </w:rPr>
        <w:t>Wahrheit und Methode</w:t>
      </w:r>
      <w:r w:rsidRPr="00B14AFA">
        <w:rPr>
          <w:bCs/>
        </w:rPr>
        <w:t xml:space="preserve"> (1960)</w:t>
      </w:r>
      <w:r w:rsidR="00B14AFA" w:rsidRPr="00B14AFA">
        <w:rPr>
          <w:bCs/>
        </w:rPr>
        <w:t xml:space="preserve">, </w:t>
      </w:r>
      <w:r w:rsidRPr="00B14AFA">
        <w:rPr>
          <w:bCs/>
        </w:rPr>
        <w:t>Esperienze di verità</w:t>
      </w:r>
      <w:r w:rsidR="00B14AFA" w:rsidRPr="00B14AFA">
        <w:rPr>
          <w:bCs/>
        </w:rPr>
        <w:t xml:space="preserve">, </w:t>
      </w:r>
      <w:r w:rsidRPr="00B14AFA">
        <w:rPr>
          <w:bCs/>
        </w:rPr>
        <w:t>Il carattere escatologico della verità</w:t>
      </w:r>
      <w:r w:rsidR="00B14AFA" w:rsidRPr="00B14AFA">
        <w:rPr>
          <w:bCs/>
        </w:rPr>
        <w:t xml:space="preserve">, </w:t>
      </w:r>
      <w:r w:rsidRPr="00B14AFA">
        <w:rPr>
          <w:bCs/>
        </w:rPr>
        <w:t>L’opera d’arte, il gioco e la festa</w:t>
      </w:r>
      <w:r w:rsidR="00B14AFA" w:rsidRPr="00B14AFA">
        <w:rPr>
          <w:bCs/>
        </w:rPr>
        <w:t xml:space="preserve">, Pregiudizio </w:t>
      </w:r>
      <w:r w:rsidRPr="00B14AFA">
        <w:rPr>
          <w:bCs/>
        </w:rPr>
        <w:t>e tradizione</w:t>
      </w:r>
      <w:r w:rsidR="00B14AFA" w:rsidRPr="00B14AFA">
        <w:rPr>
          <w:bCs/>
        </w:rPr>
        <w:t xml:space="preserve">, la </w:t>
      </w:r>
      <w:r w:rsidRPr="00B14AFA">
        <w:rPr>
          <w:bCs/>
        </w:rPr>
        <w:t>Wirkungsgeschichte</w:t>
      </w:r>
      <w:r w:rsidR="00B14AFA" w:rsidRPr="00B14AFA">
        <w:rPr>
          <w:bCs/>
        </w:rPr>
        <w:t xml:space="preserve">, </w:t>
      </w:r>
      <w:r w:rsidRPr="00B14AFA">
        <w:rPr>
          <w:bCs/>
        </w:rPr>
        <w:t>Fusione di orizzonti</w:t>
      </w:r>
    </w:p>
    <w:p w:rsidR="00EA7535" w:rsidRPr="00F81B0D" w:rsidRDefault="00EA7535" w:rsidP="00B14AFA">
      <w:pPr>
        <w:numPr>
          <w:ilvl w:val="0"/>
          <w:numId w:val="24"/>
        </w:numPr>
        <w:spacing w:after="0" w:line="240" w:lineRule="auto"/>
        <w:ind w:left="1418"/>
        <w:rPr>
          <w:bCs/>
        </w:rPr>
      </w:pPr>
      <w:r w:rsidRPr="00EA7535">
        <w:rPr>
          <w:bCs/>
        </w:rPr>
        <w:t>Ermeneutica dialogica e scelta etica</w:t>
      </w:r>
    </w:p>
    <w:p w:rsidR="00B14AFA" w:rsidRDefault="00B14AFA" w:rsidP="00B14AFA">
      <w:pPr>
        <w:spacing w:after="0" w:line="240" w:lineRule="auto"/>
        <w:ind w:left="720" w:firstLine="0"/>
        <w:rPr>
          <w:bCs/>
        </w:rPr>
      </w:pPr>
    </w:p>
    <w:p w:rsidR="000C5DA0" w:rsidRPr="00B14AFA" w:rsidRDefault="0054312E" w:rsidP="00F81B0D">
      <w:pPr>
        <w:numPr>
          <w:ilvl w:val="0"/>
          <w:numId w:val="12"/>
        </w:numPr>
        <w:spacing w:after="0" w:line="240" w:lineRule="auto"/>
        <w:rPr>
          <w:b/>
          <w:bCs/>
        </w:rPr>
      </w:pPr>
      <w:r w:rsidRPr="00B14AFA">
        <w:rPr>
          <w:b/>
          <w:bCs/>
        </w:rPr>
        <w:t>Ricœur e la fenomenologia del linguaggio</w:t>
      </w:r>
    </w:p>
    <w:p w:rsidR="00EA7535" w:rsidRPr="00B14AFA" w:rsidRDefault="00EA7535" w:rsidP="00B14AFA">
      <w:pPr>
        <w:numPr>
          <w:ilvl w:val="0"/>
          <w:numId w:val="25"/>
        </w:numPr>
        <w:spacing w:after="0" w:line="240" w:lineRule="auto"/>
        <w:ind w:left="1418"/>
        <w:rPr>
          <w:bCs/>
        </w:rPr>
      </w:pPr>
      <w:r w:rsidRPr="00B14AFA">
        <w:rPr>
          <w:bCs/>
          <w:i/>
        </w:rPr>
        <w:t>Il conflitto delle interpretazioni</w:t>
      </w:r>
      <w:r w:rsidRPr="00B14AFA">
        <w:rPr>
          <w:bCs/>
        </w:rPr>
        <w:t xml:space="preserve"> (1969)</w:t>
      </w:r>
      <w:r w:rsidR="00B14AFA" w:rsidRPr="00B14AFA">
        <w:rPr>
          <w:bCs/>
        </w:rPr>
        <w:t xml:space="preserve">, </w:t>
      </w:r>
      <w:r w:rsidRPr="00B14AFA">
        <w:rPr>
          <w:bCs/>
        </w:rPr>
        <w:t>Ermeneutica del sospetto e dell’a</w:t>
      </w:r>
      <w:r w:rsidR="00B14AFA" w:rsidRPr="00B14AFA">
        <w:rPr>
          <w:bCs/>
        </w:rPr>
        <w:t xml:space="preserve">scolto, </w:t>
      </w:r>
      <w:r w:rsidRPr="00B14AFA">
        <w:rPr>
          <w:bCs/>
        </w:rPr>
        <w:t>La “via corta” e la “via lunga”</w:t>
      </w:r>
    </w:p>
    <w:p w:rsidR="00EA7535" w:rsidRPr="00B14AFA" w:rsidRDefault="00EA7535" w:rsidP="00B14AFA">
      <w:pPr>
        <w:numPr>
          <w:ilvl w:val="0"/>
          <w:numId w:val="25"/>
        </w:numPr>
        <w:spacing w:after="0" w:line="240" w:lineRule="auto"/>
        <w:ind w:left="1418"/>
        <w:rPr>
          <w:bCs/>
        </w:rPr>
      </w:pPr>
      <w:r w:rsidRPr="00B14AFA">
        <w:rPr>
          <w:bCs/>
          <w:i/>
        </w:rPr>
        <w:t>La metafora viva</w:t>
      </w:r>
      <w:r w:rsidRPr="00B14AFA">
        <w:rPr>
          <w:bCs/>
        </w:rPr>
        <w:t xml:space="preserve"> (1975)</w:t>
      </w:r>
      <w:r w:rsidR="00B14AFA" w:rsidRPr="00B14AFA">
        <w:rPr>
          <w:bCs/>
        </w:rPr>
        <w:t xml:space="preserve">, </w:t>
      </w:r>
      <w:r w:rsidRPr="00B14AFA">
        <w:rPr>
          <w:bCs/>
        </w:rPr>
        <w:t>Teoria dell’interpretazione simbolica</w:t>
      </w:r>
      <w:r w:rsidR="00B14AFA" w:rsidRPr="00B14AFA">
        <w:rPr>
          <w:bCs/>
        </w:rPr>
        <w:t xml:space="preserve">, </w:t>
      </w:r>
      <w:r w:rsidRPr="00B14AFA">
        <w:rPr>
          <w:bCs/>
        </w:rPr>
        <w:t>Riabilitazione del linguaggio religioso</w:t>
      </w:r>
    </w:p>
    <w:p w:rsidR="00EA7535" w:rsidRPr="00B14AFA" w:rsidRDefault="00EA7535" w:rsidP="00B14AFA">
      <w:pPr>
        <w:numPr>
          <w:ilvl w:val="0"/>
          <w:numId w:val="25"/>
        </w:numPr>
        <w:spacing w:after="0" w:line="240" w:lineRule="auto"/>
        <w:ind w:left="1418"/>
        <w:rPr>
          <w:bCs/>
        </w:rPr>
      </w:pPr>
      <w:r w:rsidRPr="00B14AFA">
        <w:rPr>
          <w:bCs/>
          <w:i/>
        </w:rPr>
        <w:t>Tempo e racconto</w:t>
      </w:r>
      <w:r w:rsidRPr="00B14AFA">
        <w:rPr>
          <w:bCs/>
        </w:rPr>
        <w:t xml:space="preserve"> (1983-1985): titolo, temi e contenuti</w:t>
      </w:r>
      <w:r w:rsidR="00B14AFA" w:rsidRPr="00B14AFA">
        <w:rPr>
          <w:bCs/>
        </w:rPr>
        <w:t xml:space="preserve">, </w:t>
      </w:r>
      <w:r w:rsidRPr="00B14AFA">
        <w:rPr>
          <w:bCs/>
        </w:rPr>
        <w:t>Che cos’è la storia?</w:t>
      </w:r>
    </w:p>
    <w:p w:rsidR="00B14AFA" w:rsidRDefault="00B14AFA" w:rsidP="00B14AFA">
      <w:pPr>
        <w:spacing w:after="0" w:line="240" w:lineRule="auto"/>
        <w:ind w:left="720" w:firstLine="0"/>
        <w:rPr>
          <w:bCs/>
        </w:rPr>
      </w:pPr>
    </w:p>
    <w:p w:rsidR="00F81B0D" w:rsidRPr="00B14AFA" w:rsidRDefault="0054312E" w:rsidP="00EA7535">
      <w:pPr>
        <w:numPr>
          <w:ilvl w:val="0"/>
          <w:numId w:val="12"/>
        </w:numPr>
        <w:spacing w:after="0" w:line="240" w:lineRule="auto"/>
        <w:rPr>
          <w:b/>
          <w:bCs/>
        </w:rPr>
      </w:pPr>
      <w:r w:rsidRPr="00B14AFA">
        <w:rPr>
          <w:b/>
          <w:bCs/>
        </w:rPr>
        <w:t>Pareyson e Vattimo. La questione postmoderna della verità</w:t>
      </w:r>
    </w:p>
    <w:p w:rsidR="00EA7535" w:rsidRPr="00B14AFA" w:rsidRDefault="00B14AFA" w:rsidP="00B14AFA">
      <w:pPr>
        <w:numPr>
          <w:ilvl w:val="0"/>
          <w:numId w:val="26"/>
        </w:numPr>
        <w:spacing w:after="0" w:line="240" w:lineRule="auto"/>
        <w:ind w:left="1418"/>
        <w:rPr>
          <w:bCs/>
        </w:rPr>
      </w:pPr>
      <w:r>
        <w:rPr>
          <w:bCs/>
        </w:rPr>
        <w:t xml:space="preserve">Pareyson: </w:t>
      </w:r>
      <w:r w:rsidR="00EA7535" w:rsidRPr="00B14AFA">
        <w:rPr>
          <w:bCs/>
        </w:rPr>
        <w:t>La crisi della filosofia</w:t>
      </w:r>
      <w:r w:rsidRPr="00B14AFA">
        <w:rPr>
          <w:bCs/>
        </w:rPr>
        <w:t xml:space="preserve">, </w:t>
      </w:r>
      <w:r w:rsidR="00EA7535" w:rsidRPr="00B14AFA">
        <w:rPr>
          <w:bCs/>
          <w:i/>
          <w:iCs/>
        </w:rPr>
        <w:t xml:space="preserve">Verità e interpretazione </w:t>
      </w:r>
      <w:r w:rsidR="00EA7535" w:rsidRPr="00B14AFA">
        <w:rPr>
          <w:bCs/>
        </w:rPr>
        <w:t>(1971)</w:t>
      </w:r>
      <w:r w:rsidRPr="00B14AFA">
        <w:rPr>
          <w:bCs/>
        </w:rPr>
        <w:t xml:space="preserve">, </w:t>
      </w:r>
      <w:r w:rsidR="00EA7535" w:rsidRPr="00B14AFA">
        <w:rPr>
          <w:bCs/>
        </w:rPr>
        <w:t>Persona e interpretazione: congenialità</w:t>
      </w:r>
      <w:r w:rsidRPr="00B14AFA">
        <w:rPr>
          <w:bCs/>
        </w:rPr>
        <w:t xml:space="preserve">, </w:t>
      </w:r>
      <w:r w:rsidR="00EA7535" w:rsidRPr="00B14AFA">
        <w:rPr>
          <w:bCs/>
        </w:rPr>
        <w:t>Ermeneutica spezzata</w:t>
      </w:r>
    </w:p>
    <w:p w:rsidR="00EA7535" w:rsidRPr="00B14AFA" w:rsidRDefault="00B14AFA" w:rsidP="00B14AFA">
      <w:pPr>
        <w:numPr>
          <w:ilvl w:val="0"/>
          <w:numId w:val="21"/>
        </w:numPr>
        <w:spacing w:after="0" w:line="240" w:lineRule="auto"/>
        <w:ind w:left="1418" w:hanging="357"/>
        <w:rPr>
          <w:bCs/>
        </w:rPr>
      </w:pPr>
      <w:r w:rsidRPr="00B14AFA">
        <w:rPr>
          <w:bCs/>
        </w:rPr>
        <w:t xml:space="preserve">Vattomo: Ermeneutica come koiné, </w:t>
      </w:r>
      <w:r w:rsidR="00EA7535" w:rsidRPr="00B14AFA">
        <w:rPr>
          <w:bCs/>
          <w:i/>
          <w:iCs/>
        </w:rPr>
        <w:t>Aufhebung</w:t>
      </w:r>
      <w:r w:rsidRPr="00B14AFA">
        <w:rPr>
          <w:bCs/>
        </w:rPr>
        <w:t xml:space="preserve"> </w:t>
      </w:r>
      <w:r w:rsidR="00EA7535" w:rsidRPr="00B14AFA">
        <w:rPr>
          <w:bCs/>
          <w:i/>
          <w:iCs/>
        </w:rPr>
        <w:t>vs Verwindung</w:t>
      </w:r>
      <w:r w:rsidRPr="00B14AFA">
        <w:rPr>
          <w:bCs/>
          <w:iCs/>
        </w:rPr>
        <w:t xml:space="preserve">, </w:t>
      </w:r>
      <w:r w:rsidR="00EA7535" w:rsidRPr="00B14AFA">
        <w:rPr>
          <w:bCs/>
        </w:rPr>
        <w:t>Pensiero debole e secolarizzazione</w:t>
      </w:r>
      <w:r w:rsidRPr="00B14AFA">
        <w:rPr>
          <w:bCs/>
        </w:rPr>
        <w:t xml:space="preserve">, </w:t>
      </w:r>
      <w:r w:rsidR="00EA7535" w:rsidRPr="00B14AFA">
        <w:rPr>
          <w:bCs/>
        </w:rPr>
        <w:t>Ermeneutica rovesciata</w:t>
      </w:r>
    </w:p>
    <w:p w:rsidR="00B14AFA" w:rsidRDefault="00B14AFA" w:rsidP="00B14AFA"/>
    <w:p w:rsidR="007E3D73" w:rsidRPr="00F87A4A" w:rsidRDefault="004E550C" w:rsidP="00AB6571">
      <w:pPr>
        <w:spacing w:after="0" w:line="240" w:lineRule="auto"/>
        <w:ind w:firstLine="0"/>
        <w:outlineLvl w:val="0"/>
        <w:rPr>
          <w:b/>
          <w:bCs/>
        </w:rPr>
      </w:pPr>
      <w:r w:rsidRPr="00F87A4A">
        <w:rPr>
          <w:b/>
          <w:bCs/>
        </w:rPr>
        <w:t>Bibliografia</w:t>
      </w:r>
      <w:r w:rsidR="007E3D73" w:rsidRPr="00F87A4A">
        <w:rPr>
          <w:b/>
          <w:bCs/>
        </w:rPr>
        <w:t>:</w:t>
      </w:r>
      <w:r w:rsidRPr="00F87A4A">
        <w:rPr>
          <w:b/>
          <w:bCs/>
        </w:rPr>
        <w:t xml:space="preserve"> </w:t>
      </w:r>
    </w:p>
    <w:p w:rsidR="00F81B0D" w:rsidRPr="00F81B0D" w:rsidRDefault="00F81B0D" w:rsidP="00F81B0D">
      <w:pPr>
        <w:spacing w:after="0" w:line="240" w:lineRule="auto"/>
        <w:ind w:firstLine="0"/>
        <w:rPr>
          <w:bCs/>
        </w:rPr>
      </w:pPr>
      <w:r w:rsidRPr="00F81B0D">
        <w:rPr>
          <w:bCs/>
          <w:i/>
          <w:iCs/>
        </w:rPr>
        <w:t>Enciclopedia filosofica</w:t>
      </w:r>
      <w:r w:rsidRPr="00F81B0D">
        <w:rPr>
          <w:bCs/>
        </w:rPr>
        <w:t xml:space="preserve">, 12 voll., Bompiani, Milano 2006; G. Mura, </w:t>
      </w:r>
      <w:r w:rsidRPr="00F81B0D">
        <w:rPr>
          <w:bCs/>
          <w:i/>
          <w:iCs/>
        </w:rPr>
        <w:t>Ermeneutica e verità. Storia e problemi della filosofia dell’interpretazione</w:t>
      </w:r>
      <w:r w:rsidRPr="00F81B0D">
        <w:rPr>
          <w:bCs/>
        </w:rPr>
        <w:t xml:space="preserve">, Città Nuova, Roma 1990; G. Cambiano, M. Mori, </w:t>
      </w:r>
      <w:r w:rsidRPr="00F81B0D">
        <w:rPr>
          <w:bCs/>
          <w:i/>
          <w:iCs/>
        </w:rPr>
        <w:t>Storia della filosofia contemporanea</w:t>
      </w:r>
      <w:r w:rsidRPr="00F81B0D">
        <w:rPr>
          <w:bCs/>
          <w:iCs/>
        </w:rPr>
        <w:t xml:space="preserve"> </w:t>
      </w:r>
      <w:r w:rsidRPr="00F81B0D">
        <w:rPr>
          <w:bCs/>
        </w:rPr>
        <w:t>(2014), Laterza, Roma-Bari 2019</w:t>
      </w:r>
      <w:r w:rsidRPr="00F81B0D">
        <w:rPr>
          <w:bCs/>
          <w:vertAlign w:val="superscript"/>
        </w:rPr>
        <w:t>6</w:t>
      </w:r>
      <w:r w:rsidRPr="00F81B0D">
        <w:rPr>
          <w:bCs/>
        </w:rPr>
        <w:t xml:space="preserve">; L. Perissinotto, </w:t>
      </w:r>
      <w:r w:rsidRPr="00F81B0D">
        <w:rPr>
          <w:bCs/>
          <w:i/>
          <w:iCs/>
        </w:rPr>
        <w:t>Le vie dell’interpretazione nella filosofia contemporanea</w:t>
      </w:r>
      <w:r w:rsidRPr="00F81B0D">
        <w:rPr>
          <w:bCs/>
        </w:rPr>
        <w:t>, Laterza, Roma-Bari 2002; D. Antiseri, «La semantica del linguaggio religioso», in</w:t>
      </w:r>
      <w:r w:rsidRPr="00F81B0D">
        <w:rPr>
          <w:bCs/>
          <w:iCs/>
        </w:rPr>
        <w:t xml:space="preserve"> </w:t>
      </w:r>
      <w:r w:rsidRPr="00F81B0D">
        <w:rPr>
          <w:bCs/>
          <w:i/>
          <w:iCs/>
        </w:rPr>
        <w:t>La filosofia del linguaggio. metodi, problemi e teoria</w:t>
      </w:r>
      <w:r w:rsidRPr="00F81B0D">
        <w:rPr>
          <w:bCs/>
          <w:iCs/>
        </w:rPr>
        <w:t>,</w:t>
      </w:r>
      <w:r w:rsidRPr="00F81B0D">
        <w:rPr>
          <w:bCs/>
        </w:rPr>
        <w:t xml:space="preserve"> Morcelliana, Brescia 1973, (capitolo VII); F. Lo Piparo, «L’animale linguistico», </w:t>
      </w:r>
      <w:r w:rsidRPr="00F81B0D">
        <w:rPr>
          <w:bCs/>
          <w:i/>
          <w:iCs/>
        </w:rPr>
        <w:t>Aristotele e il linguaggio</w:t>
      </w:r>
      <w:r w:rsidRPr="00F81B0D">
        <w:rPr>
          <w:bCs/>
        </w:rPr>
        <w:t xml:space="preserve">, Laterza, Roma-Bari 2003, 3-33; M. Ferraris, </w:t>
      </w:r>
      <w:r w:rsidRPr="00F81B0D">
        <w:rPr>
          <w:bCs/>
          <w:i/>
          <w:iCs/>
        </w:rPr>
        <w:t xml:space="preserve">Storia </w:t>
      </w:r>
      <w:r w:rsidRPr="00F81B0D">
        <w:rPr>
          <w:bCs/>
          <w:i/>
          <w:iCs/>
        </w:rPr>
        <w:lastRenderedPageBreak/>
        <w:t>dell’Ermeneutica</w:t>
      </w:r>
      <w:r w:rsidRPr="00F81B0D">
        <w:rPr>
          <w:bCs/>
        </w:rPr>
        <w:t xml:space="preserve">, Bompiani, Milano 2008; L. Floridi, G. P. Terravecchia, edd., </w:t>
      </w:r>
      <w:r w:rsidRPr="00F81B0D">
        <w:rPr>
          <w:bCs/>
          <w:i/>
          <w:iCs/>
        </w:rPr>
        <w:t>Le parole della filosofia contemporanea</w:t>
      </w:r>
      <w:r w:rsidRPr="00F81B0D">
        <w:rPr>
          <w:bCs/>
        </w:rPr>
        <w:t xml:space="preserve">, Carocci, Roma 2009; P. Casalegno, </w:t>
      </w:r>
      <w:r w:rsidRPr="00F81B0D">
        <w:rPr>
          <w:bCs/>
          <w:i/>
          <w:iCs/>
        </w:rPr>
        <w:t>Brevissima introduzione alla filosofia del linguaggio</w:t>
      </w:r>
      <w:r w:rsidRPr="00F81B0D">
        <w:rPr>
          <w:bCs/>
        </w:rPr>
        <w:t xml:space="preserve">, Carocci, Roma 2012; F. Cimatti, F. Piazza, edd., </w:t>
      </w:r>
      <w:r w:rsidRPr="00F81B0D">
        <w:rPr>
          <w:bCs/>
          <w:i/>
          <w:iCs/>
        </w:rPr>
        <w:t>Filosofie del linguaggio. Storie, autori, concetti</w:t>
      </w:r>
      <w:r w:rsidRPr="00F81B0D">
        <w:rPr>
          <w:bCs/>
        </w:rPr>
        <w:t xml:space="preserve">, Carocci, Roma 2016; S. Rindone, </w:t>
      </w:r>
      <w:r w:rsidRPr="00F81B0D">
        <w:rPr>
          <w:bCs/>
          <w:i/>
          <w:iCs/>
        </w:rPr>
        <w:t>Uscita dal nichilismo. Il cristianesimo di fronte la tecnica</w:t>
      </w:r>
      <w:r w:rsidRPr="00F81B0D">
        <w:rPr>
          <w:bCs/>
        </w:rPr>
        <w:t xml:space="preserve">, Stamen, Roma 2021 (cap. III). </w:t>
      </w:r>
    </w:p>
    <w:p w:rsidR="00BE5D34" w:rsidRPr="007E3D73" w:rsidRDefault="00BE5D34" w:rsidP="00F81B0D">
      <w:pPr>
        <w:spacing w:after="0" w:line="240" w:lineRule="auto"/>
        <w:ind w:firstLine="0"/>
      </w:pPr>
    </w:p>
    <w:sectPr w:rsidR="00BE5D34" w:rsidRPr="007E3D73" w:rsidSect="00EA7535">
      <w:footerReference w:type="default" r:id="rId8"/>
      <w:pgSz w:w="11906" w:h="16838"/>
      <w:pgMar w:top="1134" w:right="170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CD5" w:rsidRDefault="00784CD5" w:rsidP="007D7146">
      <w:pPr>
        <w:spacing w:after="0" w:line="240" w:lineRule="auto"/>
      </w:pPr>
      <w:r>
        <w:separator/>
      </w:r>
    </w:p>
  </w:endnote>
  <w:endnote w:type="continuationSeparator" w:id="1">
    <w:p w:rsidR="00784CD5" w:rsidRDefault="00784CD5" w:rsidP="007D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719407"/>
      <w:docPartObj>
        <w:docPartGallery w:val="Page Numbers (Bottom of Page)"/>
        <w:docPartUnique/>
      </w:docPartObj>
    </w:sdtPr>
    <w:sdtContent>
      <w:p w:rsidR="00542202" w:rsidRDefault="000C5DA0" w:rsidP="005A2BD9">
        <w:pPr>
          <w:pStyle w:val="Pidipagina"/>
          <w:jc w:val="center"/>
        </w:pPr>
        <w:r w:rsidRPr="005A2BD9">
          <w:rPr>
            <w:sz w:val="24"/>
          </w:rPr>
          <w:fldChar w:fldCharType="begin"/>
        </w:r>
        <w:r w:rsidR="00542202" w:rsidRPr="005A2BD9">
          <w:rPr>
            <w:sz w:val="24"/>
          </w:rPr>
          <w:instrText xml:space="preserve"> PAGE   \* MERGEFORMAT </w:instrText>
        </w:r>
        <w:r w:rsidRPr="005A2BD9">
          <w:rPr>
            <w:sz w:val="24"/>
          </w:rPr>
          <w:fldChar w:fldCharType="separate"/>
        </w:r>
        <w:r w:rsidR="00B14AFA">
          <w:rPr>
            <w:noProof/>
            <w:sz w:val="24"/>
          </w:rPr>
          <w:t>3</w:t>
        </w:r>
        <w:r w:rsidRPr="005A2BD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CD5" w:rsidRDefault="00784CD5" w:rsidP="007D7146">
      <w:pPr>
        <w:spacing w:after="0" w:line="240" w:lineRule="auto"/>
      </w:pPr>
      <w:r>
        <w:separator/>
      </w:r>
    </w:p>
  </w:footnote>
  <w:footnote w:type="continuationSeparator" w:id="1">
    <w:p w:rsidR="00784CD5" w:rsidRDefault="00784CD5" w:rsidP="007D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198A"/>
    <w:multiLevelType w:val="hybridMultilevel"/>
    <w:tmpl w:val="040A2B6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2E6499"/>
    <w:multiLevelType w:val="hybridMultilevel"/>
    <w:tmpl w:val="1332D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A45"/>
    <w:multiLevelType w:val="hybridMultilevel"/>
    <w:tmpl w:val="FAFE97A2"/>
    <w:lvl w:ilvl="0" w:tplc="BE402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A1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0B2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9C0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81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09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81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2F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2A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7008E"/>
    <w:multiLevelType w:val="hybridMultilevel"/>
    <w:tmpl w:val="4F0AA392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A73732B"/>
    <w:multiLevelType w:val="hybridMultilevel"/>
    <w:tmpl w:val="347272AC"/>
    <w:lvl w:ilvl="0" w:tplc="B5504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CC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89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ED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23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5C3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4C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2E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06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70058"/>
    <w:multiLevelType w:val="hybridMultilevel"/>
    <w:tmpl w:val="E8CC9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BD637C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818F1"/>
    <w:multiLevelType w:val="hybridMultilevel"/>
    <w:tmpl w:val="040A2B6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DA50BB"/>
    <w:multiLevelType w:val="hybridMultilevel"/>
    <w:tmpl w:val="B08A4DCA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5E7466"/>
    <w:multiLevelType w:val="hybridMultilevel"/>
    <w:tmpl w:val="64465F66"/>
    <w:lvl w:ilvl="0" w:tplc="36164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7E1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47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CD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AF9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A2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46A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C58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6222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92F3E"/>
    <w:multiLevelType w:val="hybridMultilevel"/>
    <w:tmpl w:val="4F0AA392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9A26101"/>
    <w:multiLevelType w:val="hybridMultilevel"/>
    <w:tmpl w:val="72D6F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71281"/>
    <w:multiLevelType w:val="hybridMultilevel"/>
    <w:tmpl w:val="05D86CBC"/>
    <w:lvl w:ilvl="0" w:tplc="E5CA1B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22851"/>
    <w:multiLevelType w:val="hybridMultilevel"/>
    <w:tmpl w:val="C9E27CF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AA04698"/>
    <w:multiLevelType w:val="hybridMultilevel"/>
    <w:tmpl w:val="DC38006C"/>
    <w:lvl w:ilvl="0" w:tplc="6E367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E28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AE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E5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C9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EF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4D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E4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CB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CAC493F"/>
    <w:multiLevelType w:val="hybridMultilevel"/>
    <w:tmpl w:val="8578C0A6"/>
    <w:lvl w:ilvl="0" w:tplc="3FE6E4CC">
      <w:start w:val="1"/>
      <w:numFmt w:val="lowerLetter"/>
      <w:lvlText w:val="%1)"/>
      <w:lvlJc w:val="left"/>
      <w:pPr>
        <w:ind w:left="1440" w:hanging="360"/>
      </w:pPr>
      <w:rPr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9C0C0B"/>
    <w:multiLevelType w:val="hybridMultilevel"/>
    <w:tmpl w:val="66A6835E"/>
    <w:lvl w:ilvl="0" w:tplc="BE402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5A0B2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9C0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81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09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81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2F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2A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EA0DF9"/>
    <w:multiLevelType w:val="hybridMultilevel"/>
    <w:tmpl w:val="95206A68"/>
    <w:lvl w:ilvl="0" w:tplc="7C36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41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2A7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4D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EA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1C9F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9AA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EB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2E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F00E1"/>
    <w:multiLevelType w:val="hybridMultilevel"/>
    <w:tmpl w:val="C2C6C5C6"/>
    <w:lvl w:ilvl="0" w:tplc="E5CA1B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B44CD"/>
    <w:multiLevelType w:val="hybridMultilevel"/>
    <w:tmpl w:val="445E4D08"/>
    <w:lvl w:ilvl="0" w:tplc="990E1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4F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96E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EF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08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EF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228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8A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C45D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731CD"/>
    <w:multiLevelType w:val="hybridMultilevel"/>
    <w:tmpl w:val="92101660"/>
    <w:lvl w:ilvl="0" w:tplc="BE402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5A0B2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9C0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81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09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81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2F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2A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C4C0B"/>
    <w:multiLevelType w:val="hybridMultilevel"/>
    <w:tmpl w:val="005648A2"/>
    <w:lvl w:ilvl="0" w:tplc="E5CA1B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C7CF3"/>
    <w:multiLevelType w:val="hybridMultilevel"/>
    <w:tmpl w:val="4F0AA392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4211D9"/>
    <w:multiLevelType w:val="hybridMultilevel"/>
    <w:tmpl w:val="B83C6B24"/>
    <w:lvl w:ilvl="0" w:tplc="A754C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9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82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A6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24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C7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85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0E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0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448467F"/>
    <w:multiLevelType w:val="hybridMultilevel"/>
    <w:tmpl w:val="4F0AA392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D1020BE"/>
    <w:multiLevelType w:val="hybridMultilevel"/>
    <w:tmpl w:val="73ACEA60"/>
    <w:lvl w:ilvl="0" w:tplc="EA66F0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DA27DFA"/>
    <w:multiLevelType w:val="hybridMultilevel"/>
    <w:tmpl w:val="4F0AA392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24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4"/>
  </w:num>
  <w:num w:numId="8">
    <w:abstractNumId w:val="18"/>
  </w:num>
  <w:num w:numId="9">
    <w:abstractNumId w:val="1"/>
  </w:num>
  <w:num w:numId="10">
    <w:abstractNumId w:val="10"/>
  </w:num>
  <w:num w:numId="11">
    <w:abstractNumId w:val="5"/>
  </w:num>
  <w:num w:numId="12">
    <w:abstractNumId w:val="2"/>
  </w:num>
  <w:num w:numId="13">
    <w:abstractNumId w:val="19"/>
  </w:num>
  <w:num w:numId="14">
    <w:abstractNumId w:val="15"/>
  </w:num>
  <w:num w:numId="15">
    <w:abstractNumId w:val="0"/>
  </w:num>
  <w:num w:numId="16">
    <w:abstractNumId w:val="14"/>
  </w:num>
  <w:num w:numId="17">
    <w:abstractNumId w:val="6"/>
  </w:num>
  <w:num w:numId="18">
    <w:abstractNumId w:val="20"/>
  </w:num>
  <w:num w:numId="19">
    <w:abstractNumId w:val="11"/>
  </w:num>
  <w:num w:numId="20">
    <w:abstractNumId w:val="17"/>
  </w:num>
  <w:num w:numId="21">
    <w:abstractNumId w:val="7"/>
  </w:num>
  <w:num w:numId="22">
    <w:abstractNumId w:val="23"/>
  </w:num>
  <w:num w:numId="23">
    <w:abstractNumId w:val="3"/>
  </w:num>
  <w:num w:numId="24">
    <w:abstractNumId w:val="9"/>
  </w:num>
  <w:num w:numId="25">
    <w:abstractNumId w:val="25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146"/>
    <w:rsid w:val="00033AB7"/>
    <w:rsid w:val="000A21A8"/>
    <w:rsid w:val="000A21B5"/>
    <w:rsid w:val="000C5DA0"/>
    <w:rsid w:val="000E4613"/>
    <w:rsid w:val="00112F24"/>
    <w:rsid w:val="00135B88"/>
    <w:rsid w:val="00144179"/>
    <w:rsid w:val="001A247A"/>
    <w:rsid w:val="001B7040"/>
    <w:rsid w:val="001D0225"/>
    <w:rsid w:val="001F0D4D"/>
    <w:rsid w:val="002050F5"/>
    <w:rsid w:val="00250942"/>
    <w:rsid w:val="00284FAA"/>
    <w:rsid w:val="0028613B"/>
    <w:rsid w:val="0029489A"/>
    <w:rsid w:val="002B61E9"/>
    <w:rsid w:val="002D72F3"/>
    <w:rsid w:val="002E0A80"/>
    <w:rsid w:val="003253D9"/>
    <w:rsid w:val="00356191"/>
    <w:rsid w:val="003651E2"/>
    <w:rsid w:val="00376BE7"/>
    <w:rsid w:val="00393D07"/>
    <w:rsid w:val="003A0F8C"/>
    <w:rsid w:val="003A6109"/>
    <w:rsid w:val="003E4F18"/>
    <w:rsid w:val="0042505C"/>
    <w:rsid w:val="00447D3E"/>
    <w:rsid w:val="00455948"/>
    <w:rsid w:val="004628D8"/>
    <w:rsid w:val="0046388E"/>
    <w:rsid w:val="004661F6"/>
    <w:rsid w:val="00486669"/>
    <w:rsid w:val="004A051E"/>
    <w:rsid w:val="004B6149"/>
    <w:rsid w:val="004C3F76"/>
    <w:rsid w:val="004E550C"/>
    <w:rsid w:val="00542202"/>
    <w:rsid w:val="0054312E"/>
    <w:rsid w:val="005443DB"/>
    <w:rsid w:val="00571C4C"/>
    <w:rsid w:val="005920E0"/>
    <w:rsid w:val="005A2BD9"/>
    <w:rsid w:val="005A6B16"/>
    <w:rsid w:val="00601D26"/>
    <w:rsid w:val="00632960"/>
    <w:rsid w:val="00655830"/>
    <w:rsid w:val="0067015E"/>
    <w:rsid w:val="00694CBC"/>
    <w:rsid w:val="006C3CDF"/>
    <w:rsid w:val="006D13B5"/>
    <w:rsid w:val="006D490B"/>
    <w:rsid w:val="006E0E6D"/>
    <w:rsid w:val="006F2017"/>
    <w:rsid w:val="007027F6"/>
    <w:rsid w:val="007029F3"/>
    <w:rsid w:val="00715029"/>
    <w:rsid w:val="007170F7"/>
    <w:rsid w:val="00721029"/>
    <w:rsid w:val="00741D93"/>
    <w:rsid w:val="00747059"/>
    <w:rsid w:val="007538F4"/>
    <w:rsid w:val="007562B3"/>
    <w:rsid w:val="00783A82"/>
    <w:rsid w:val="00784CD5"/>
    <w:rsid w:val="007A2276"/>
    <w:rsid w:val="007D7146"/>
    <w:rsid w:val="007E3D73"/>
    <w:rsid w:val="007F072B"/>
    <w:rsid w:val="007F3380"/>
    <w:rsid w:val="00825AE8"/>
    <w:rsid w:val="00831C0C"/>
    <w:rsid w:val="008508AD"/>
    <w:rsid w:val="00851667"/>
    <w:rsid w:val="0086096A"/>
    <w:rsid w:val="008975A4"/>
    <w:rsid w:val="008A1CFF"/>
    <w:rsid w:val="008B1AE4"/>
    <w:rsid w:val="008D62B2"/>
    <w:rsid w:val="0090190F"/>
    <w:rsid w:val="00905736"/>
    <w:rsid w:val="0092525C"/>
    <w:rsid w:val="00941DD7"/>
    <w:rsid w:val="0094496F"/>
    <w:rsid w:val="00964786"/>
    <w:rsid w:val="00986B22"/>
    <w:rsid w:val="00994851"/>
    <w:rsid w:val="009B2A4E"/>
    <w:rsid w:val="009C0299"/>
    <w:rsid w:val="009C60E9"/>
    <w:rsid w:val="009D0300"/>
    <w:rsid w:val="009F22ED"/>
    <w:rsid w:val="00A208B8"/>
    <w:rsid w:val="00A35785"/>
    <w:rsid w:val="00A47C47"/>
    <w:rsid w:val="00A54948"/>
    <w:rsid w:val="00A56F7D"/>
    <w:rsid w:val="00AB0EF7"/>
    <w:rsid w:val="00AB6571"/>
    <w:rsid w:val="00AC05AB"/>
    <w:rsid w:val="00AC793A"/>
    <w:rsid w:val="00AD77F3"/>
    <w:rsid w:val="00B02604"/>
    <w:rsid w:val="00B14AFA"/>
    <w:rsid w:val="00B312D6"/>
    <w:rsid w:val="00B336F0"/>
    <w:rsid w:val="00B33E10"/>
    <w:rsid w:val="00B500AC"/>
    <w:rsid w:val="00B50B73"/>
    <w:rsid w:val="00B549E6"/>
    <w:rsid w:val="00B56519"/>
    <w:rsid w:val="00B609A0"/>
    <w:rsid w:val="00B767C6"/>
    <w:rsid w:val="00B958C0"/>
    <w:rsid w:val="00BD28A8"/>
    <w:rsid w:val="00BE5D34"/>
    <w:rsid w:val="00BE6487"/>
    <w:rsid w:val="00C101FF"/>
    <w:rsid w:val="00C12ABE"/>
    <w:rsid w:val="00C5009D"/>
    <w:rsid w:val="00C62458"/>
    <w:rsid w:val="00CB0E9F"/>
    <w:rsid w:val="00CD6117"/>
    <w:rsid w:val="00D0101D"/>
    <w:rsid w:val="00D2448D"/>
    <w:rsid w:val="00D37A2D"/>
    <w:rsid w:val="00D44333"/>
    <w:rsid w:val="00D70683"/>
    <w:rsid w:val="00D75DC8"/>
    <w:rsid w:val="00D8017B"/>
    <w:rsid w:val="00D95096"/>
    <w:rsid w:val="00DD7EB9"/>
    <w:rsid w:val="00DE0AE4"/>
    <w:rsid w:val="00E124A7"/>
    <w:rsid w:val="00E238F0"/>
    <w:rsid w:val="00E25717"/>
    <w:rsid w:val="00E47C69"/>
    <w:rsid w:val="00E50388"/>
    <w:rsid w:val="00E518F2"/>
    <w:rsid w:val="00EA7535"/>
    <w:rsid w:val="00EB25FC"/>
    <w:rsid w:val="00F12A10"/>
    <w:rsid w:val="00F72F0A"/>
    <w:rsid w:val="00F73A13"/>
    <w:rsid w:val="00F81B0D"/>
    <w:rsid w:val="00F82442"/>
    <w:rsid w:val="00F8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7146"/>
    <w:pPr>
      <w:ind w:firstLine="284"/>
      <w:jc w:val="both"/>
    </w:pPr>
    <w:rPr>
      <w:rFonts w:ascii="Times New Roman" w:hAnsi="Times New Roman" w:cs="Times New Roman"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571C4C"/>
    <w:pPr>
      <w:spacing w:after="0" w:line="240" w:lineRule="auto"/>
      <w:ind w:left="284" w:firstLine="0"/>
    </w:pPr>
    <w:rPr>
      <w:sz w:val="26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C4C"/>
    <w:rPr>
      <w:rFonts w:ascii="Times New Roman" w:hAnsi="Times New Roman" w:cs="Times New Roman"/>
      <w:sz w:val="2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7146"/>
    <w:rPr>
      <w:vertAlign w:val="superscript"/>
    </w:rPr>
  </w:style>
  <w:style w:type="paragraph" w:styleId="Nessunaspaziatura">
    <w:name w:val="No Spacing"/>
    <w:aliases w:val="Piè pagina"/>
    <w:uiPriority w:val="1"/>
    <w:qFormat/>
    <w:rsid w:val="007D7146"/>
    <w:pPr>
      <w:spacing w:after="0" w:line="240" w:lineRule="auto"/>
      <w:ind w:firstLine="284"/>
      <w:jc w:val="both"/>
    </w:pPr>
    <w:rPr>
      <w:rFonts w:ascii="Times New Roman" w:hAnsi="Times New Roman" w:cs="Times New Roman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2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2BD9"/>
    <w:rPr>
      <w:rFonts w:ascii="Times New Roman" w:hAnsi="Times New Roman" w:cs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5A2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BD9"/>
    <w:rPr>
      <w:rFonts w:ascii="Times New Roman" w:hAnsi="Times New Roman" w:cs="Times New Roman"/>
      <w:sz w:val="2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3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312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B25F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2448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91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7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9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7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4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3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9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23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2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91542-63CF-482D-829A-5F17947E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Salvo</cp:lastModifiedBy>
  <cp:revision>3</cp:revision>
  <cp:lastPrinted>2019-07-24T09:00:00Z</cp:lastPrinted>
  <dcterms:created xsi:type="dcterms:W3CDTF">2025-05-23T09:13:00Z</dcterms:created>
  <dcterms:modified xsi:type="dcterms:W3CDTF">2025-05-23T09:29:00Z</dcterms:modified>
</cp:coreProperties>
</file>