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B76" w:rsidRPr="00851A52" w:rsidRDefault="00D75B76" w:rsidP="00D75B76">
      <w:pPr>
        <w:spacing w:line="240" w:lineRule="auto"/>
        <w:jc w:val="center"/>
        <w:rPr>
          <w:rFonts w:ascii="Comic Sans MS" w:hAnsi="Comic Sans MS" w:cs="Times New Roman"/>
          <w:sz w:val="28"/>
          <w:szCs w:val="28"/>
        </w:rPr>
      </w:pPr>
      <w:r w:rsidRPr="00851A52">
        <w:rPr>
          <w:rFonts w:ascii="Comic Sans MS" w:hAnsi="Comic Sans MS" w:cs="Times New Roman"/>
          <w:sz w:val="28"/>
          <w:szCs w:val="28"/>
        </w:rPr>
        <w:t>I</w:t>
      </w:r>
      <w:r w:rsidRPr="00851A52">
        <w:rPr>
          <w:rFonts w:ascii="Comic Sans MS" w:hAnsi="Comic Sans MS" w:cs="Times New Roman"/>
          <w:sz w:val="28"/>
          <w:szCs w:val="28"/>
        </w:rPr>
        <w:t>dentità e alte</w:t>
      </w:r>
      <w:r w:rsidRPr="00851A52">
        <w:rPr>
          <w:rFonts w:ascii="Comic Sans MS" w:hAnsi="Comic Sans MS" w:cs="Times New Roman"/>
          <w:sz w:val="28"/>
          <w:szCs w:val="28"/>
        </w:rPr>
        <w:t>rità</w:t>
      </w:r>
    </w:p>
    <w:p w:rsidR="00D75B76" w:rsidRPr="00851A52" w:rsidRDefault="00D75B76" w:rsidP="00D75B76">
      <w:pPr>
        <w:spacing w:line="240" w:lineRule="auto"/>
        <w:jc w:val="center"/>
        <w:rPr>
          <w:rFonts w:ascii="Comic Sans MS" w:hAnsi="Comic Sans MS" w:cs="Times New Roman"/>
          <w:sz w:val="28"/>
          <w:szCs w:val="28"/>
        </w:rPr>
      </w:pPr>
      <w:r w:rsidRPr="00851A52">
        <w:rPr>
          <w:rFonts w:ascii="Comic Sans MS" w:hAnsi="Comic Sans MS" w:cs="Times New Roman"/>
          <w:sz w:val="28"/>
          <w:szCs w:val="28"/>
        </w:rPr>
        <w:t>(lezione Temi e problemi di antropologia)</w:t>
      </w:r>
    </w:p>
    <w:p w:rsidR="00D75B76" w:rsidRPr="00851A52" w:rsidRDefault="00D75B76" w:rsidP="00D75B76">
      <w:pPr>
        <w:spacing w:line="240" w:lineRule="auto"/>
        <w:jc w:val="center"/>
        <w:rPr>
          <w:rFonts w:ascii="Comic Sans MS" w:hAnsi="Comic Sans MS" w:cs="Times New Roman"/>
          <w:b/>
          <w:sz w:val="28"/>
          <w:szCs w:val="28"/>
        </w:rPr>
      </w:pPr>
      <w:r w:rsidRPr="00851A52">
        <w:rPr>
          <w:rFonts w:ascii="Comic Sans MS" w:hAnsi="Comic Sans MS" w:cs="Times New Roman"/>
          <w:b/>
          <w:sz w:val="28"/>
          <w:szCs w:val="28"/>
        </w:rPr>
        <w:t>Anna Pia Viola</w:t>
      </w:r>
    </w:p>
    <w:p w:rsidR="00D75B76" w:rsidRPr="00851A52" w:rsidRDefault="00D75B76" w:rsidP="00D75B76">
      <w:pPr>
        <w:spacing w:line="240" w:lineRule="auto"/>
        <w:jc w:val="both"/>
        <w:rPr>
          <w:rFonts w:ascii="Times New Roman" w:hAnsi="Times New Roman" w:cs="Times New Roman"/>
          <w:b/>
          <w:sz w:val="28"/>
          <w:szCs w:val="28"/>
        </w:rPr>
      </w:pPr>
      <w:r w:rsidRPr="00851A52">
        <w:rPr>
          <w:rFonts w:ascii="Times New Roman" w:hAnsi="Times New Roman" w:cs="Times New Roman"/>
          <w:b/>
          <w:sz w:val="28"/>
          <w:szCs w:val="28"/>
        </w:rPr>
        <w:t>Dal tema alla questione: l’orizzonte della domanda</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 “identità/alterità” non costituiscono un “tema” su cui riflettere, un contenuto del pensiero, ma una prospettiva da cui la domanda sull’umano si pone.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Vorrei provare, cioè, ad accostare alle più note argomentazioni sul tema dell’alterità, riflessioni più recenti che possano aiutare non solo a tenere viva la domanda, ma evidenziare cosa la pone in continuazione ed esig</w:t>
      </w:r>
      <w:r w:rsidRPr="00851A52">
        <w:rPr>
          <w:rFonts w:ascii="Times New Roman" w:hAnsi="Times New Roman" w:cs="Times New Roman"/>
          <w:sz w:val="28"/>
          <w:szCs w:val="28"/>
        </w:rPr>
        <w:t xml:space="preserve">e sempre nuovi cambiamenti.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Cambia </w:t>
      </w:r>
      <w:r w:rsidRPr="00851A52">
        <w:rPr>
          <w:rFonts w:ascii="Times New Roman" w:hAnsi="Times New Roman" w:cs="Times New Roman"/>
          <w:sz w:val="28"/>
          <w:szCs w:val="28"/>
        </w:rPr>
        <w:t xml:space="preserve">radicalmente la domanda sull’uomo a seconda che si parta dall’orizzonte </w:t>
      </w:r>
      <w:r w:rsidRPr="00851A52">
        <w:rPr>
          <w:rFonts w:ascii="Times New Roman" w:hAnsi="Times New Roman" w:cs="Times New Roman"/>
          <w:sz w:val="28"/>
          <w:szCs w:val="28"/>
        </w:rPr>
        <w:t xml:space="preserve">dell’io o da quello dell’altro. </w:t>
      </w:r>
      <w:r w:rsidRPr="00851A52">
        <w:rPr>
          <w:rFonts w:ascii="Times New Roman" w:hAnsi="Times New Roman" w:cs="Times New Roman"/>
          <w:sz w:val="28"/>
          <w:szCs w:val="28"/>
        </w:rPr>
        <w:t xml:space="preserve">La linea che intendo seguire vuole porre la sua attenzione sulla “res” della costituzione identitaria dell’uomo. Mi domando: si tratta di una </w:t>
      </w:r>
      <w:r w:rsidRPr="00851A52">
        <w:rPr>
          <w:rFonts w:ascii="Times New Roman" w:hAnsi="Times New Roman" w:cs="Times New Roman"/>
          <w:b/>
          <w:sz w:val="28"/>
          <w:szCs w:val="28"/>
        </w:rPr>
        <w:t>qualità d’essere</w:t>
      </w:r>
      <w:r w:rsidRPr="00851A52">
        <w:rPr>
          <w:rFonts w:ascii="Times New Roman" w:hAnsi="Times New Roman" w:cs="Times New Roman"/>
          <w:sz w:val="28"/>
          <w:szCs w:val="28"/>
        </w:rPr>
        <w:t xml:space="preserve"> che si esprime nei termini dell’ontologia classica, oppure occorre dire l’uomo in maniera altra? Ciò che rimane e rimanda al fondo della domanda è: “cosa sono io?”, “in cosa il mio essere uomo è diverso, è altro?” e, non da ultimo, “cosa mi permette di affermarlo?”.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L’imperativo stesso del “diventa ciò che sei”, rimanda certo al “divenire” dell’essere, ma più profondamente ed implicitamente fa interrogare su un “essere” che diviene pur rimanendo </w:t>
      </w:r>
      <w:proofErr w:type="gramStart"/>
      <w:r w:rsidRPr="00851A52">
        <w:rPr>
          <w:rFonts w:ascii="Times New Roman" w:hAnsi="Times New Roman" w:cs="Times New Roman"/>
          <w:sz w:val="28"/>
          <w:szCs w:val="28"/>
        </w:rPr>
        <w:t>se</w:t>
      </w:r>
      <w:proofErr w:type="gramEnd"/>
      <w:r w:rsidRPr="00851A52">
        <w:rPr>
          <w:rFonts w:ascii="Times New Roman" w:hAnsi="Times New Roman" w:cs="Times New Roman"/>
          <w:sz w:val="28"/>
          <w:szCs w:val="28"/>
        </w:rPr>
        <w:t xml:space="preserve"> st</w:t>
      </w:r>
      <w:r w:rsidRPr="00851A52">
        <w:rPr>
          <w:rFonts w:ascii="Times New Roman" w:hAnsi="Times New Roman" w:cs="Times New Roman"/>
          <w:sz w:val="28"/>
          <w:szCs w:val="28"/>
        </w:rPr>
        <w:t>esso. Lo stesso rapporto etico</w:t>
      </w:r>
      <w:r w:rsidRPr="00851A52">
        <w:rPr>
          <w:rFonts w:ascii="Times New Roman" w:hAnsi="Times New Roman" w:cs="Times New Roman"/>
          <w:sz w:val="28"/>
          <w:szCs w:val="28"/>
        </w:rPr>
        <w:t xml:space="preserve"> invoca l’orizzonte ontologico e metafisico mostrando “l’alterità come identità dell’uomo”.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I</w:t>
      </w:r>
      <w:r w:rsidRPr="00851A52">
        <w:rPr>
          <w:rFonts w:ascii="Times New Roman" w:hAnsi="Times New Roman" w:cs="Times New Roman"/>
          <w:sz w:val="28"/>
          <w:szCs w:val="28"/>
        </w:rPr>
        <w:t xml:space="preserve">ntendo accogliere e raccogliere l’orizzonte della domanda, l’interrogativo del </w:t>
      </w:r>
      <w:r w:rsidRPr="00851A52">
        <w:rPr>
          <w:rFonts w:ascii="Times New Roman" w:hAnsi="Times New Roman" w:cs="Times New Roman"/>
          <w:i/>
          <w:sz w:val="28"/>
          <w:szCs w:val="28"/>
        </w:rPr>
        <w:t>come</w:t>
      </w:r>
      <w:r w:rsidRPr="00851A52">
        <w:rPr>
          <w:rFonts w:ascii="Times New Roman" w:hAnsi="Times New Roman" w:cs="Times New Roman"/>
          <w:sz w:val="28"/>
          <w:szCs w:val="28"/>
        </w:rPr>
        <w:t xml:space="preserve"> pensare l’uomo nell’evidente presenza di un “altro irriducibile”, di un “irriducibile altro”, di una trascendenza </w:t>
      </w:r>
      <w:r w:rsidRPr="00851A52">
        <w:rPr>
          <w:rFonts w:ascii="Times New Roman" w:hAnsi="Times New Roman" w:cs="Times New Roman"/>
          <w:i/>
          <w:sz w:val="28"/>
          <w:szCs w:val="28"/>
        </w:rPr>
        <w:t>nel</w:t>
      </w:r>
      <w:r w:rsidRPr="00851A52">
        <w:rPr>
          <w:rFonts w:ascii="Times New Roman" w:hAnsi="Times New Roman" w:cs="Times New Roman"/>
          <w:sz w:val="28"/>
          <w:szCs w:val="28"/>
        </w:rPr>
        <w:t xml:space="preserve"> e </w:t>
      </w:r>
      <w:r w:rsidRPr="00851A52">
        <w:rPr>
          <w:rFonts w:ascii="Times New Roman" w:hAnsi="Times New Roman" w:cs="Times New Roman"/>
          <w:i/>
          <w:sz w:val="28"/>
          <w:szCs w:val="28"/>
        </w:rPr>
        <w:t>del</w:t>
      </w:r>
      <w:r w:rsidRPr="00851A52">
        <w:rPr>
          <w:rFonts w:ascii="Times New Roman" w:hAnsi="Times New Roman" w:cs="Times New Roman"/>
          <w:sz w:val="28"/>
          <w:szCs w:val="28"/>
        </w:rPr>
        <w:t xml:space="preserve"> soggetto, che non si consegna alla concettualizzazione eppure manifesta la sua presenza. </w:t>
      </w:r>
    </w:p>
    <w:p w:rsidR="00D75B76" w:rsidRPr="00851A52" w:rsidRDefault="00D75B76" w:rsidP="00D75B76">
      <w:pPr>
        <w:spacing w:line="240" w:lineRule="auto"/>
        <w:jc w:val="both"/>
        <w:rPr>
          <w:rFonts w:ascii="Times New Roman" w:hAnsi="Times New Roman" w:cs="Times New Roman"/>
          <w:b/>
          <w:sz w:val="28"/>
          <w:szCs w:val="28"/>
        </w:rPr>
      </w:pPr>
      <w:r w:rsidRPr="00851A52">
        <w:rPr>
          <w:rFonts w:ascii="Times New Roman" w:hAnsi="Times New Roman" w:cs="Times New Roman"/>
          <w:b/>
          <w:sz w:val="28"/>
          <w:szCs w:val="28"/>
        </w:rPr>
        <w:t xml:space="preserve">L’inquietudine dell’altro: il rovesciamento metodologico </w:t>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Cosa </w:t>
      </w:r>
      <w:r w:rsidRPr="00851A52">
        <w:rPr>
          <w:rFonts w:ascii="Times New Roman" w:hAnsi="Times New Roman" w:cs="Times New Roman"/>
          <w:sz w:val="28"/>
          <w:szCs w:val="28"/>
        </w:rPr>
        <w:t xml:space="preserve">rende </w:t>
      </w:r>
      <w:r w:rsidRPr="00851A52">
        <w:rPr>
          <w:rFonts w:ascii="Times New Roman" w:hAnsi="Times New Roman" w:cs="Times New Roman"/>
          <w:sz w:val="28"/>
          <w:szCs w:val="28"/>
        </w:rPr>
        <w:t xml:space="preserve">l’uomo </w:t>
      </w:r>
      <w:r w:rsidRPr="00851A52">
        <w:rPr>
          <w:rFonts w:ascii="Times New Roman" w:hAnsi="Times New Roman" w:cs="Times New Roman"/>
          <w:sz w:val="28"/>
          <w:szCs w:val="28"/>
        </w:rPr>
        <w:t>differente dagli animali, dai vegetali? È solo una questione di numero di neuroni, oppure, ciò che non può essere definito e numerato, proprio quello, indica la differenza dell’essere umano? È una domanda che sembra investire innanzitutto l’indagine ontologica prima di quella antropologica. Anche le più recenti riflessioni filosofiche, che hanno cercato l’identità dell’uomo a partire dal corpo, consegnano l’impossibilità di riduzione dell’essere dell’uomo al suo corpo.</w:t>
      </w:r>
      <w:r w:rsidRPr="00851A52">
        <w:rPr>
          <w:rStyle w:val="Rimandonotaapidipagina"/>
          <w:rFonts w:ascii="Times New Roman" w:hAnsi="Times New Roman" w:cs="Times New Roman"/>
          <w:sz w:val="28"/>
          <w:szCs w:val="28"/>
        </w:rPr>
        <w:footnoteReference w:id="1"/>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Finché emerge la domanda “chi sono io rispetto al mio corpo”, ci muoviamo all’interno della prospettiva dualista che rilancia ancora più prepotentemente la questione ontologica dell’alterità.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lastRenderedPageBreak/>
        <w:t xml:space="preserve">Le vie di riflessione che hanno fatto emergere il soggetto come apertura all’altro, pensiamo nel secolo scorso a </w:t>
      </w:r>
      <w:proofErr w:type="spellStart"/>
      <w:r w:rsidRPr="00851A52">
        <w:rPr>
          <w:rFonts w:ascii="Times New Roman" w:hAnsi="Times New Roman" w:cs="Times New Roman"/>
          <w:sz w:val="28"/>
          <w:szCs w:val="28"/>
        </w:rPr>
        <w:t>Levinas</w:t>
      </w:r>
      <w:proofErr w:type="spellEnd"/>
      <w:r w:rsidRPr="00851A52">
        <w:rPr>
          <w:rFonts w:ascii="Times New Roman" w:hAnsi="Times New Roman" w:cs="Times New Roman"/>
          <w:sz w:val="28"/>
          <w:szCs w:val="28"/>
        </w:rPr>
        <w:t xml:space="preserve"> e </w:t>
      </w:r>
      <w:proofErr w:type="spellStart"/>
      <w:r w:rsidRPr="00851A52">
        <w:rPr>
          <w:rFonts w:ascii="Times New Roman" w:hAnsi="Times New Roman" w:cs="Times New Roman"/>
          <w:sz w:val="28"/>
          <w:szCs w:val="28"/>
        </w:rPr>
        <w:t>Ricoeur</w:t>
      </w:r>
      <w:proofErr w:type="spellEnd"/>
      <w:r w:rsidRPr="00851A52">
        <w:rPr>
          <w:rFonts w:ascii="Times New Roman" w:hAnsi="Times New Roman" w:cs="Times New Roman"/>
          <w:sz w:val="28"/>
          <w:szCs w:val="28"/>
        </w:rPr>
        <w:t xml:space="preserve">, prospettano l’altro prioritario e precedente rispetto all’io.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L’impegno di pensare l’altro diventa impegno di pensare a </w:t>
      </w:r>
      <w:r w:rsidRPr="00851A52">
        <w:rPr>
          <w:rFonts w:ascii="Times New Roman" w:hAnsi="Times New Roman" w:cs="Times New Roman"/>
          <w:i/>
          <w:sz w:val="28"/>
          <w:szCs w:val="28"/>
        </w:rPr>
        <w:t>come</w:t>
      </w:r>
      <w:r w:rsidRPr="00851A52">
        <w:rPr>
          <w:rFonts w:ascii="Times New Roman" w:hAnsi="Times New Roman" w:cs="Times New Roman"/>
          <w:sz w:val="28"/>
          <w:szCs w:val="28"/>
        </w:rPr>
        <w:t xml:space="preserve"> pensare. E su questa esigenza la riflessione sull’io e sull’altro riceve una virata straordinaria con la puntualizzazione di </w:t>
      </w:r>
      <w:proofErr w:type="spellStart"/>
      <w:r w:rsidRPr="00851A52">
        <w:rPr>
          <w:rFonts w:ascii="Times New Roman" w:hAnsi="Times New Roman" w:cs="Times New Roman"/>
          <w:sz w:val="28"/>
          <w:szCs w:val="28"/>
        </w:rPr>
        <w:t>Levinas</w:t>
      </w:r>
      <w:proofErr w:type="spellEnd"/>
      <w:r w:rsidRPr="00851A52">
        <w:rPr>
          <w:rFonts w:ascii="Times New Roman" w:hAnsi="Times New Roman" w:cs="Times New Roman"/>
          <w:sz w:val="28"/>
          <w:szCs w:val="28"/>
        </w:rPr>
        <w:t xml:space="preserve"> secondo cui l’essere che si manifes</w:t>
      </w:r>
      <w:r w:rsidRPr="00851A52">
        <w:rPr>
          <w:rFonts w:ascii="Times New Roman" w:hAnsi="Times New Roman" w:cs="Times New Roman"/>
          <w:sz w:val="28"/>
          <w:szCs w:val="28"/>
        </w:rPr>
        <w:t>ta non a partire da me, ma da sé</w:t>
      </w:r>
      <w:r w:rsidRPr="00851A52">
        <w:rPr>
          <w:rFonts w:ascii="Times New Roman" w:hAnsi="Times New Roman" w:cs="Times New Roman"/>
          <w:sz w:val="28"/>
          <w:szCs w:val="28"/>
        </w:rPr>
        <w:t xml:space="preserve"> stesso, si impone come ‘presenza’ come ‘volto’. L’altro mi inquieta e esige il riconoscimento. L’altro mi si impone come sorgente di obbligazione. Tale presenza dell’altro genera inquietudine e ha portato a riformulare l’interrogativo sull’Io, sul soggetto, non più a partire da sé, ma appunto da altro.</w:t>
      </w:r>
      <w:r w:rsidRPr="00851A52">
        <w:rPr>
          <w:rStyle w:val="Rimandonotaapidipagina"/>
          <w:rFonts w:ascii="Times New Roman" w:hAnsi="Times New Roman" w:cs="Times New Roman"/>
          <w:sz w:val="28"/>
          <w:szCs w:val="28"/>
        </w:rPr>
        <w:footnoteReference w:id="2"/>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È un cambiamento di impostazione, un rovesciamento, che mette in crisi non solo la domanda sull’identità dell’uomo, ma ancor prima lo stesso domandare: l’interrogare filosofico è condotto ad esercitarsi su un terreno che non è stato detto perché fugge le categorie della filosofia </w:t>
      </w:r>
      <w:proofErr w:type="spellStart"/>
      <w:r w:rsidRPr="00851A52">
        <w:rPr>
          <w:rFonts w:ascii="Times New Roman" w:hAnsi="Times New Roman" w:cs="Times New Roman"/>
          <w:sz w:val="28"/>
          <w:szCs w:val="28"/>
        </w:rPr>
        <w:t>egologica</w:t>
      </w:r>
      <w:proofErr w:type="spellEnd"/>
      <w:r w:rsidRPr="00851A52">
        <w:rPr>
          <w:rFonts w:ascii="Times New Roman" w:hAnsi="Times New Roman" w:cs="Times New Roman"/>
          <w:sz w:val="28"/>
          <w:szCs w:val="28"/>
        </w:rPr>
        <w:t xml:space="preserve">; un terreno altro che tuttavia lo stesso pensiero riconosce come suo proprio, autenticamente suo perché altro da sé. </w:t>
      </w:r>
    </w:p>
    <w:p w:rsidR="00A008DD"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Il pensiero dell’altro si scontra con la irriducibilità d’altri ed esige pertanto che si vada all’altro “senza concetto”, nel tentativo di rendere possibile il sorgere e il riconoscimento di una diversità specificamente umana. </w:t>
      </w:r>
    </w:p>
    <w:p w:rsidR="00A008DD"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In </w:t>
      </w:r>
      <w:r w:rsidRPr="00851A52">
        <w:rPr>
          <w:rFonts w:ascii="Times New Roman" w:hAnsi="Times New Roman" w:cs="Times New Roman"/>
          <w:i/>
          <w:sz w:val="28"/>
          <w:szCs w:val="28"/>
        </w:rPr>
        <w:t>Umanesimo dell’altro uomo</w:t>
      </w:r>
      <w:r w:rsidRPr="00851A52">
        <w:rPr>
          <w:rFonts w:ascii="Times New Roman" w:hAnsi="Times New Roman" w:cs="Times New Roman"/>
          <w:sz w:val="28"/>
          <w:szCs w:val="28"/>
        </w:rPr>
        <w:t xml:space="preserve">, </w:t>
      </w:r>
      <w:proofErr w:type="spellStart"/>
      <w:r w:rsidRPr="00851A52">
        <w:rPr>
          <w:rFonts w:ascii="Times New Roman" w:hAnsi="Times New Roman" w:cs="Times New Roman"/>
          <w:b/>
          <w:sz w:val="28"/>
          <w:szCs w:val="28"/>
        </w:rPr>
        <w:t>Levinas</w:t>
      </w:r>
      <w:proofErr w:type="spellEnd"/>
      <w:r w:rsidRPr="00851A52">
        <w:rPr>
          <w:rFonts w:ascii="Times New Roman" w:hAnsi="Times New Roman" w:cs="Times New Roman"/>
          <w:b/>
          <w:sz w:val="28"/>
          <w:szCs w:val="28"/>
        </w:rPr>
        <w:t xml:space="preserve"> </w:t>
      </w:r>
      <w:r w:rsidRPr="00851A52">
        <w:rPr>
          <w:rFonts w:ascii="Times New Roman" w:hAnsi="Times New Roman" w:cs="Times New Roman"/>
          <w:sz w:val="28"/>
          <w:szCs w:val="28"/>
        </w:rPr>
        <w:t>prende le distanze sia dall’umanesimo tradizionale che esalta il soggetto come padrone di sé ed artefice del proprio successo, sia dall’</w:t>
      </w:r>
      <w:proofErr w:type="spellStart"/>
      <w:r w:rsidRPr="00851A52">
        <w:rPr>
          <w:rFonts w:ascii="Times New Roman" w:hAnsi="Times New Roman" w:cs="Times New Roman"/>
          <w:sz w:val="28"/>
          <w:szCs w:val="28"/>
        </w:rPr>
        <w:t>antiumanesimo</w:t>
      </w:r>
      <w:proofErr w:type="spellEnd"/>
      <w:r w:rsidRPr="00851A52">
        <w:rPr>
          <w:rFonts w:ascii="Times New Roman" w:hAnsi="Times New Roman" w:cs="Times New Roman"/>
          <w:sz w:val="28"/>
          <w:szCs w:val="28"/>
        </w:rPr>
        <w:t xml:space="preserve"> che in nome di </w:t>
      </w:r>
      <w:proofErr w:type="gramStart"/>
      <w:r w:rsidRPr="00851A52">
        <w:rPr>
          <w:rFonts w:ascii="Times New Roman" w:hAnsi="Times New Roman" w:cs="Times New Roman"/>
          <w:sz w:val="28"/>
          <w:szCs w:val="28"/>
        </w:rPr>
        <w:t>un’ “</w:t>
      </w:r>
      <w:proofErr w:type="gramEnd"/>
      <w:r w:rsidRPr="00851A52">
        <w:rPr>
          <w:rFonts w:ascii="Times New Roman" w:hAnsi="Times New Roman" w:cs="Times New Roman"/>
          <w:sz w:val="28"/>
          <w:szCs w:val="28"/>
        </w:rPr>
        <w:t xml:space="preserve">oggettività” scientifica ha la pretesa di svuotare di senso l’interiorità del soggetto. </w:t>
      </w:r>
    </w:p>
    <w:p w:rsidR="00A008DD"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La presenza d’altri, l’incontro con l’altro (con il suo volto) è il luogo primo dell’intelligibile, si parte da lui e non dal mio concetto su di lui. Questa impostazione depotenzia, per non dire che di fatto annulla, la pretesa di afferrare conoscitivamente ciò che invece sfugge alla presa dell’io. Conoscere l’individuo sarebbe neutralizzarlo tramite un concetto che nella sua generalità è un prodotto del soggetto pensante. </w:t>
      </w:r>
    </w:p>
    <w:p w:rsidR="00A008DD"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L’altro in quanto altri sfugge alla presa concettuale e non si dà in una relazione di reciproco riconoscimento: è ‘volto’, luogo concreto in cui si rivela l’infinito nell’ordine del personale. «Il volto è l’identità stessa di un essere. Egli vi si manifesta a partire da </w:t>
      </w:r>
      <w:proofErr w:type="gramStart"/>
      <w:r w:rsidRPr="00851A52">
        <w:rPr>
          <w:rFonts w:ascii="Times New Roman" w:hAnsi="Times New Roman" w:cs="Times New Roman"/>
          <w:sz w:val="28"/>
          <w:szCs w:val="28"/>
        </w:rPr>
        <w:t>se</w:t>
      </w:r>
      <w:proofErr w:type="gramEnd"/>
      <w:r w:rsidRPr="00851A52">
        <w:rPr>
          <w:rFonts w:ascii="Times New Roman" w:hAnsi="Times New Roman" w:cs="Times New Roman"/>
          <w:sz w:val="28"/>
          <w:szCs w:val="28"/>
        </w:rPr>
        <w:t xml:space="preserve"> stesso, senza concetto […]. La presenza sensibile, qui, si desensibilizza, per lasciare apparire direttamente colui che si riferisce unicamente a sé, l’identico [</w:t>
      </w:r>
      <w:r w:rsidRPr="00851A52">
        <w:rPr>
          <w:rFonts w:ascii="Times New Roman" w:hAnsi="Times New Roman" w:cs="Times New Roman"/>
          <w:i/>
          <w:iCs/>
          <w:sz w:val="28"/>
          <w:szCs w:val="28"/>
        </w:rPr>
        <w:t>l’</w:t>
      </w:r>
      <w:proofErr w:type="spellStart"/>
      <w:r w:rsidRPr="00851A52">
        <w:rPr>
          <w:rFonts w:ascii="Times New Roman" w:hAnsi="Times New Roman" w:cs="Times New Roman"/>
          <w:i/>
          <w:iCs/>
          <w:sz w:val="28"/>
          <w:szCs w:val="28"/>
        </w:rPr>
        <w:t>identique</w:t>
      </w:r>
      <w:proofErr w:type="spellEnd"/>
      <w:r w:rsidRPr="00851A52">
        <w:rPr>
          <w:rFonts w:ascii="Times New Roman" w:hAnsi="Times New Roman" w:cs="Times New Roman"/>
          <w:sz w:val="28"/>
          <w:szCs w:val="28"/>
        </w:rPr>
        <w:t>]».</w:t>
      </w:r>
      <w:r w:rsidRPr="00851A52">
        <w:rPr>
          <w:rStyle w:val="Rimandonotaapidipagina"/>
          <w:rFonts w:ascii="Times New Roman" w:hAnsi="Times New Roman" w:cs="Times New Roman"/>
          <w:sz w:val="28"/>
          <w:szCs w:val="28"/>
        </w:rPr>
        <w:footnoteReference w:id="3"/>
      </w:r>
      <w:r w:rsidRPr="00851A52">
        <w:rPr>
          <w:rFonts w:ascii="Times New Roman" w:hAnsi="Times New Roman" w:cs="Times New Roman"/>
          <w:sz w:val="28"/>
          <w:szCs w:val="28"/>
        </w:rPr>
        <w:t xml:space="preserve"> </w:t>
      </w:r>
    </w:p>
    <w:p w:rsidR="00D75B76" w:rsidRPr="00851A52" w:rsidRDefault="00A008DD"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L</w:t>
      </w:r>
      <w:r w:rsidR="00D75B76" w:rsidRPr="00851A52">
        <w:rPr>
          <w:rFonts w:ascii="Times New Roman" w:hAnsi="Times New Roman" w:cs="Times New Roman"/>
          <w:sz w:val="28"/>
          <w:szCs w:val="28"/>
        </w:rPr>
        <w:t xml:space="preserve">’altro è una persona irripetibile, non un concetto generalizzabile; non da ultimo ne sottolinea la trascendenza. È l’altro che viene verso di me e in questo sfugge strutturalmente al concetto. In questo sfuggire sta il senso della trascendenza d’altri: </w:t>
      </w:r>
      <w:r w:rsidR="00D75B76" w:rsidRPr="00851A52">
        <w:rPr>
          <w:rFonts w:ascii="Times New Roman" w:hAnsi="Times New Roman" w:cs="Times New Roman"/>
          <w:b/>
          <w:sz w:val="28"/>
          <w:szCs w:val="28"/>
        </w:rPr>
        <w:t xml:space="preserve">la </w:t>
      </w:r>
      <w:r w:rsidR="00D75B76" w:rsidRPr="00851A52">
        <w:rPr>
          <w:rFonts w:ascii="Times New Roman" w:hAnsi="Times New Roman" w:cs="Times New Roman"/>
          <w:b/>
          <w:sz w:val="28"/>
          <w:szCs w:val="28"/>
        </w:rPr>
        <w:lastRenderedPageBreak/>
        <w:t>trascendenza</w:t>
      </w:r>
      <w:r w:rsidR="00D75B76" w:rsidRPr="00851A52">
        <w:rPr>
          <w:rFonts w:ascii="Times New Roman" w:hAnsi="Times New Roman" w:cs="Times New Roman"/>
          <w:sz w:val="28"/>
          <w:szCs w:val="28"/>
        </w:rPr>
        <w:t xml:space="preserve"> è ciò che ci sta di fronte. Quella </w:t>
      </w:r>
      <w:r w:rsidR="00D75B76" w:rsidRPr="00851A52">
        <w:rPr>
          <w:rFonts w:ascii="Times New Roman" w:hAnsi="Times New Roman" w:cs="Times New Roman"/>
          <w:b/>
          <w:sz w:val="28"/>
          <w:szCs w:val="28"/>
        </w:rPr>
        <w:t>concretezza del volto che frantuma il sistema</w:t>
      </w:r>
      <w:r w:rsidR="00D75B76" w:rsidRPr="00851A52">
        <w:rPr>
          <w:rFonts w:ascii="Times New Roman" w:hAnsi="Times New Roman" w:cs="Times New Roman"/>
          <w:sz w:val="28"/>
          <w:szCs w:val="28"/>
        </w:rPr>
        <w:t xml:space="preserve">.  </w:t>
      </w:r>
    </w:p>
    <w:p w:rsidR="00D75B76" w:rsidRPr="00851A52" w:rsidRDefault="00D75B76" w:rsidP="00D75B76">
      <w:pPr>
        <w:autoSpaceDE w:val="0"/>
        <w:autoSpaceDN w:val="0"/>
        <w:adjustRightInd w:val="0"/>
        <w:spacing w:after="0"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Il volto dell’altro si manifesta autonomamente «a partire da </w:t>
      </w:r>
      <w:proofErr w:type="gramStart"/>
      <w:r w:rsidRPr="00851A52">
        <w:rPr>
          <w:rFonts w:ascii="Times New Roman" w:hAnsi="Times New Roman" w:cs="Times New Roman"/>
          <w:sz w:val="28"/>
          <w:szCs w:val="28"/>
        </w:rPr>
        <w:t>se</w:t>
      </w:r>
      <w:proofErr w:type="gramEnd"/>
      <w:r w:rsidRPr="00851A52">
        <w:rPr>
          <w:rFonts w:ascii="Times New Roman" w:hAnsi="Times New Roman" w:cs="Times New Roman"/>
          <w:sz w:val="28"/>
          <w:szCs w:val="28"/>
        </w:rPr>
        <w:t xml:space="preserve"> stesso», è questo per </w:t>
      </w:r>
      <w:proofErr w:type="spellStart"/>
      <w:r w:rsidRPr="00851A52">
        <w:rPr>
          <w:rFonts w:ascii="Times New Roman" w:hAnsi="Times New Roman" w:cs="Times New Roman"/>
          <w:sz w:val="28"/>
          <w:szCs w:val="28"/>
        </w:rPr>
        <w:t>Levinas</w:t>
      </w:r>
      <w:proofErr w:type="spellEnd"/>
      <w:r w:rsidRPr="00851A52">
        <w:rPr>
          <w:rFonts w:ascii="Times New Roman" w:hAnsi="Times New Roman" w:cs="Times New Roman"/>
          <w:sz w:val="28"/>
          <w:szCs w:val="28"/>
        </w:rPr>
        <w:t xml:space="preserve"> il luogo epifanico che attesta il primato indiscutibile dell’</w:t>
      </w:r>
      <w:r w:rsidRPr="00851A52">
        <w:rPr>
          <w:rFonts w:ascii="Times New Roman" w:hAnsi="Times New Roman" w:cs="Times New Roman"/>
          <w:i/>
          <w:iCs/>
          <w:sz w:val="28"/>
          <w:szCs w:val="28"/>
        </w:rPr>
        <w:t xml:space="preserve">alterità </w:t>
      </w:r>
      <w:r w:rsidRPr="00851A52">
        <w:rPr>
          <w:rFonts w:ascii="Times New Roman" w:hAnsi="Times New Roman" w:cs="Times New Roman"/>
          <w:sz w:val="28"/>
          <w:szCs w:val="28"/>
        </w:rPr>
        <w:t>conferendo un significato positivo all’</w:t>
      </w:r>
      <w:r w:rsidRPr="00851A52">
        <w:rPr>
          <w:rFonts w:ascii="Times New Roman" w:hAnsi="Times New Roman" w:cs="Times New Roman"/>
          <w:i/>
          <w:iCs/>
          <w:sz w:val="28"/>
          <w:szCs w:val="28"/>
        </w:rPr>
        <w:t>identico</w:t>
      </w:r>
      <w:r w:rsidRPr="00851A52">
        <w:rPr>
          <w:rFonts w:ascii="Times New Roman" w:hAnsi="Times New Roman" w:cs="Times New Roman"/>
          <w:sz w:val="28"/>
          <w:szCs w:val="28"/>
        </w:rPr>
        <w:t xml:space="preserve">. Entrambi i termini, </w:t>
      </w:r>
      <w:r w:rsidRPr="00851A52">
        <w:rPr>
          <w:rFonts w:ascii="Times New Roman" w:hAnsi="Times New Roman" w:cs="Times New Roman"/>
          <w:b/>
          <w:sz w:val="28"/>
          <w:szCs w:val="28"/>
        </w:rPr>
        <w:t>alterità e identità</w:t>
      </w:r>
      <w:r w:rsidRPr="00851A52">
        <w:rPr>
          <w:rFonts w:ascii="Times New Roman" w:hAnsi="Times New Roman" w:cs="Times New Roman"/>
          <w:sz w:val="28"/>
          <w:szCs w:val="28"/>
        </w:rPr>
        <w:t>, si collocano al di fuori di un orizzonte ontologico. L’alterità non è più «</w:t>
      </w:r>
      <w:r w:rsidRPr="00851A52">
        <w:rPr>
          <w:rFonts w:ascii="Times New Roman" w:hAnsi="Times New Roman" w:cs="Times New Roman"/>
          <w:i/>
          <w:iCs/>
          <w:sz w:val="28"/>
          <w:szCs w:val="28"/>
        </w:rPr>
        <w:t xml:space="preserve">esser </w:t>
      </w:r>
      <w:r w:rsidRPr="00851A52">
        <w:rPr>
          <w:rFonts w:ascii="Times New Roman" w:hAnsi="Times New Roman" w:cs="Times New Roman"/>
          <w:sz w:val="28"/>
          <w:szCs w:val="28"/>
        </w:rPr>
        <w:t xml:space="preserve">altro». </w:t>
      </w:r>
    </w:p>
    <w:p w:rsidR="007225AF" w:rsidRPr="00851A52" w:rsidRDefault="007225AF" w:rsidP="00D75B76">
      <w:pPr>
        <w:autoSpaceDE w:val="0"/>
        <w:autoSpaceDN w:val="0"/>
        <w:adjustRightInd w:val="0"/>
        <w:spacing w:after="0" w:line="240" w:lineRule="auto"/>
        <w:jc w:val="both"/>
        <w:rPr>
          <w:rFonts w:ascii="Times New Roman" w:hAnsi="Times New Roman" w:cs="Times New Roman"/>
          <w:sz w:val="28"/>
          <w:szCs w:val="28"/>
        </w:rPr>
      </w:pPr>
    </w:p>
    <w:p w:rsidR="00D75B76" w:rsidRPr="00851A52" w:rsidRDefault="00D75B76" w:rsidP="00D75B76">
      <w:pPr>
        <w:autoSpaceDE w:val="0"/>
        <w:autoSpaceDN w:val="0"/>
        <w:adjustRightInd w:val="0"/>
        <w:spacing w:after="0"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A noi rimane comunque la domanda: cos’è alterità? O, meglio, se pensiamo l’uomo come altro, alterità, che possiamo dire di lui, del suo essere e dell’essenza di questo essere? La rinuncia al piano ontologico è fatta, da </w:t>
      </w:r>
      <w:proofErr w:type="spellStart"/>
      <w:r w:rsidRPr="00851A52">
        <w:rPr>
          <w:rFonts w:ascii="Times New Roman" w:hAnsi="Times New Roman" w:cs="Times New Roman"/>
          <w:sz w:val="28"/>
          <w:szCs w:val="28"/>
        </w:rPr>
        <w:t>Levinas</w:t>
      </w:r>
      <w:proofErr w:type="spellEnd"/>
      <w:r w:rsidRPr="00851A52">
        <w:rPr>
          <w:rFonts w:ascii="Times New Roman" w:hAnsi="Times New Roman" w:cs="Times New Roman"/>
          <w:sz w:val="28"/>
          <w:szCs w:val="28"/>
        </w:rPr>
        <w:t>, a favore della relazione in senso etico.</w:t>
      </w:r>
    </w:p>
    <w:p w:rsidR="007225AF"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Il primato dell’etica, oltre ad essere strumento per il depotenziamento/ridimensionamento delle pretese della sfera conoscitiva, è proposto per mettere in crisi ogni ontologia fondamentale. </w:t>
      </w:r>
      <w:r w:rsidRPr="00851A52">
        <w:rPr>
          <w:rFonts w:ascii="Times New Roman" w:hAnsi="Times New Roman" w:cs="Times New Roman"/>
          <w:b/>
          <w:sz w:val="28"/>
          <w:szCs w:val="28"/>
        </w:rPr>
        <w:t>L’esperienza d’altri destabilizza fino a rompere la definizione dell’identità a partire dalla conoscenza dell’io.</w:t>
      </w:r>
      <w:r w:rsidRPr="00851A52">
        <w:rPr>
          <w:rFonts w:ascii="Times New Roman" w:hAnsi="Times New Roman" w:cs="Times New Roman"/>
          <w:sz w:val="28"/>
          <w:szCs w:val="28"/>
        </w:rPr>
        <w:t xml:space="preserve"> La presenza certa dell’identità non fa altro che alimentare l’autoreferenzialità dell’io, difendendosi da ogni sollecitazione che proviene dall’altro. L’altro rimane “fuori” dall’io. Solo l’irruzione inequivocabile dell’altro che inquieta poteva rompere lo sguardo dell’io su di sé, L’altro entra in me, l’altro è me in questo modo di pensarmi diversamente. Oramai il soggetto non può che pensarsi in uno squilibrio, in una sproporzione che dice il soggetto senza poter dire l’identico. Ci si rende subito conto che nella riformulazione dell’interrogativo sull’io a favore dell’apertura verso l’altro, ciò che è messo in discussione è lo stesso domandante che riconosce l’altro, come parte di sé. Il pensiero è esso stesso differente in sé, è radicato nell’altro, pertanto, prima di fare dell’altro un oggetto di riflessione, lo riconosce come parte costitutiva di sé.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Il sorgere stesso della riflessione sull’alterità, pertanto, è dato dal modo di essere del soggetto che si avverte già differente, altro, in relazione con l’alterità, è già un porsi dalla parte dell’altro. Ciò che fa emergere la domanda sull’alterità, è la traccia del provenire dell’essere (e dell’essere uo</w:t>
      </w:r>
      <w:r w:rsidR="007225AF" w:rsidRPr="00851A52">
        <w:rPr>
          <w:rFonts w:ascii="Times New Roman" w:hAnsi="Times New Roman" w:cs="Times New Roman"/>
          <w:sz w:val="28"/>
          <w:szCs w:val="28"/>
        </w:rPr>
        <w:t>mo) da un fondo differente in sé</w:t>
      </w:r>
      <w:r w:rsidRPr="00851A52">
        <w:rPr>
          <w:rFonts w:ascii="Times New Roman" w:hAnsi="Times New Roman" w:cs="Times New Roman"/>
          <w:sz w:val="28"/>
          <w:szCs w:val="28"/>
        </w:rPr>
        <w:t xml:space="preserve"> stesso. </w:t>
      </w:r>
    </w:p>
    <w:p w:rsidR="00D75B76" w:rsidRPr="00851A52" w:rsidRDefault="00D75B76" w:rsidP="00D75B76">
      <w:pPr>
        <w:spacing w:line="240" w:lineRule="auto"/>
        <w:jc w:val="both"/>
        <w:rPr>
          <w:rFonts w:ascii="Times New Roman" w:hAnsi="Times New Roman" w:cs="Times New Roman"/>
          <w:b/>
          <w:sz w:val="28"/>
          <w:szCs w:val="28"/>
        </w:rPr>
      </w:pPr>
      <w:r w:rsidRPr="00851A52">
        <w:rPr>
          <w:rFonts w:ascii="Times New Roman" w:hAnsi="Times New Roman" w:cs="Times New Roman"/>
          <w:b/>
          <w:sz w:val="28"/>
          <w:szCs w:val="28"/>
        </w:rPr>
        <w:t>Dall’alterità dell’altro all’alterità di me in rapporto a me stesso: l’alterità costitutiva dell’</w:t>
      </w:r>
      <w:proofErr w:type="spellStart"/>
      <w:r w:rsidRPr="00851A52">
        <w:rPr>
          <w:rFonts w:ascii="Times New Roman" w:hAnsi="Times New Roman" w:cs="Times New Roman"/>
          <w:b/>
          <w:sz w:val="28"/>
          <w:szCs w:val="28"/>
        </w:rPr>
        <w:t>ipseità</w:t>
      </w:r>
      <w:proofErr w:type="spellEnd"/>
    </w:p>
    <w:p w:rsidR="007225AF"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Considerare l’alterità come costitutiva dall’io apre subito alla problematicità della presa dell’altro nonostante il suo rivelarsi all’io. </w:t>
      </w:r>
    </w:p>
    <w:p w:rsidR="00F50EE4" w:rsidRPr="00851A52" w:rsidRDefault="007225AF" w:rsidP="00D75B76">
      <w:pPr>
        <w:spacing w:line="240" w:lineRule="auto"/>
        <w:jc w:val="both"/>
        <w:rPr>
          <w:rFonts w:ascii="Times New Roman" w:hAnsi="Times New Roman" w:cs="Times New Roman"/>
          <w:sz w:val="28"/>
          <w:szCs w:val="28"/>
        </w:rPr>
      </w:pPr>
      <w:proofErr w:type="spellStart"/>
      <w:r w:rsidRPr="00851A52">
        <w:rPr>
          <w:rFonts w:ascii="Times New Roman" w:hAnsi="Times New Roman" w:cs="Times New Roman"/>
          <w:b/>
          <w:sz w:val="28"/>
          <w:szCs w:val="28"/>
        </w:rPr>
        <w:t>Ricoeur</w:t>
      </w:r>
      <w:proofErr w:type="spellEnd"/>
      <w:r w:rsidRPr="00851A52">
        <w:rPr>
          <w:rFonts w:ascii="Times New Roman" w:hAnsi="Times New Roman" w:cs="Times New Roman"/>
          <w:sz w:val="28"/>
          <w:szCs w:val="28"/>
        </w:rPr>
        <w:t>. c</w:t>
      </w:r>
      <w:r w:rsidRPr="00851A52">
        <w:rPr>
          <w:rFonts w:ascii="Times New Roman" w:hAnsi="Times New Roman" w:cs="Times New Roman"/>
          <w:sz w:val="28"/>
          <w:szCs w:val="28"/>
        </w:rPr>
        <w:t xml:space="preserve">oncorde con </w:t>
      </w:r>
      <w:proofErr w:type="spellStart"/>
      <w:r w:rsidRPr="00851A52">
        <w:rPr>
          <w:rFonts w:ascii="Times New Roman" w:hAnsi="Times New Roman" w:cs="Times New Roman"/>
          <w:sz w:val="28"/>
          <w:szCs w:val="28"/>
        </w:rPr>
        <w:t>Levinas</w:t>
      </w:r>
      <w:proofErr w:type="spellEnd"/>
      <w:r w:rsidRPr="00851A52">
        <w:rPr>
          <w:rFonts w:ascii="Times New Roman" w:hAnsi="Times New Roman" w:cs="Times New Roman"/>
          <w:sz w:val="28"/>
          <w:szCs w:val="28"/>
        </w:rPr>
        <w:t xml:space="preserve">, </w:t>
      </w:r>
      <w:r w:rsidR="00D75B76" w:rsidRPr="00851A52">
        <w:rPr>
          <w:rFonts w:ascii="Times New Roman" w:hAnsi="Times New Roman" w:cs="Times New Roman"/>
          <w:sz w:val="28"/>
          <w:szCs w:val="28"/>
        </w:rPr>
        <w:t xml:space="preserve">ribadisce che l’altro fugge la concettualizzazione, frantuma il sistema, eppure si dà. </w:t>
      </w:r>
    </w:p>
    <w:p w:rsidR="00F50EE4"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L’altro, però, non mi si dà mai allo stesso modo di una cosa: la cosa appare, la persona, invece, si annuncia. Il metodo fenomenologico viene messo in crisi in quanto è modellato sulla costituzione della cosa, non sull’accesso all’altra persona. Nel suo assestarsi a modo di pensiero descrittivo e obiettivante, tale metodo è incapace di </w:t>
      </w:r>
      <w:r w:rsidRPr="00851A52">
        <w:rPr>
          <w:rFonts w:ascii="Times New Roman" w:hAnsi="Times New Roman" w:cs="Times New Roman"/>
          <w:sz w:val="28"/>
          <w:szCs w:val="28"/>
        </w:rPr>
        <w:lastRenderedPageBreak/>
        <w:t xml:space="preserve">approdare all’altro in quanto non può funzionare il voler andare all’altro a partire dall’io: è impossibile trovare l’altro a partire da me, secondo la strada della conoscenza.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Per rendere giustizia all’alterità dell’altro occorre passare dalla via della conoscenza al gesto etico che mi permette non solo di cogliere l’esserci dell’altro, ma anche ciò che in virtù del suo essere altro mi richiede.</w:t>
      </w:r>
      <w:r w:rsidR="00F50EE4" w:rsidRPr="00851A52">
        <w:rPr>
          <w:rFonts w:ascii="Times New Roman" w:hAnsi="Times New Roman" w:cs="Times New Roman"/>
          <w:sz w:val="28"/>
          <w:szCs w:val="28"/>
        </w:rPr>
        <w:t xml:space="preserve"> La fenomenologia, per </w:t>
      </w:r>
      <w:proofErr w:type="spellStart"/>
      <w:r w:rsidR="00F50EE4" w:rsidRPr="00851A52">
        <w:rPr>
          <w:rFonts w:ascii="Times New Roman" w:hAnsi="Times New Roman" w:cs="Times New Roman"/>
          <w:sz w:val="28"/>
          <w:szCs w:val="28"/>
        </w:rPr>
        <w:t>Ricoeur</w:t>
      </w:r>
      <w:proofErr w:type="spellEnd"/>
      <w:r w:rsidR="00F50EE4" w:rsidRPr="00851A52">
        <w:rPr>
          <w:rFonts w:ascii="Times New Roman" w:hAnsi="Times New Roman" w:cs="Times New Roman"/>
          <w:sz w:val="28"/>
          <w:szCs w:val="28"/>
        </w:rPr>
        <w:t>,</w:t>
      </w:r>
      <w:r w:rsidRPr="00851A52">
        <w:rPr>
          <w:rFonts w:ascii="Times New Roman" w:hAnsi="Times New Roman" w:cs="Times New Roman"/>
          <w:sz w:val="28"/>
          <w:szCs w:val="28"/>
        </w:rPr>
        <w:t xml:space="preserve"> non riesce a rendere conto dell’altro né per la via dell’empatia né per quella della simpatia, luoghi forti della fenomenologia, perché l’altro rimane un problema di riconoscimento a partire dall’io, un problema di raddoppiamento dell’io.</w:t>
      </w:r>
      <w:r w:rsidRPr="00851A52">
        <w:rPr>
          <w:rStyle w:val="Rimandonotaapidipagina"/>
          <w:rFonts w:ascii="Times New Roman" w:hAnsi="Times New Roman" w:cs="Times New Roman"/>
          <w:sz w:val="28"/>
          <w:szCs w:val="28"/>
        </w:rPr>
        <w:footnoteReference w:id="4"/>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proofErr w:type="spellStart"/>
      <w:r w:rsidRPr="00851A52">
        <w:rPr>
          <w:rFonts w:ascii="Times New Roman" w:hAnsi="Times New Roman" w:cs="Times New Roman"/>
          <w:sz w:val="28"/>
          <w:szCs w:val="28"/>
        </w:rPr>
        <w:t>Ricoeur</w:t>
      </w:r>
      <w:proofErr w:type="spellEnd"/>
      <w:r w:rsidRPr="00851A52">
        <w:rPr>
          <w:rFonts w:ascii="Times New Roman" w:hAnsi="Times New Roman" w:cs="Times New Roman"/>
          <w:sz w:val="28"/>
          <w:szCs w:val="28"/>
        </w:rPr>
        <w:t xml:space="preserve"> insiste sulla doppia dissimmetria tra l’io e l’altro: dissimmetria dell’io rispetto all’altro (in quanto non si va all’altro a partire dall’io) e dissimmetria dell’altro rispetto all’io (non si va all’altro quando il discorso viene bloccato dalla superiorità, dal prestigio del volto d’altri che mi comanda). </w:t>
      </w:r>
      <w:proofErr w:type="spellStart"/>
      <w:r w:rsidRPr="00851A52">
        <w:rPr>
          <w:rFonts w:ascii="Times New Roman" w:hAnsi="Times New Roman" w:cs="Times New Roman"/>
          <w:b/>
          <w:sz w:val="28"/>
          <w:szCs w:val="28"/>
        </w:rPr>
        <w:t>Ricoeur</w:t>
      </w:r>
      <w:proofErr w:type="spellEnd"/>
      <w:r w:rsidRPr="00851A52">
        <w:rPr>
          <w:rFonts w:ascii="Times New Roman" w:hAnsi="Times New Roman" w:cs="Times New Roman"/>
          <w:sz w:val="28"/>
          <w:szCs w:val="28"/>
        </w:rPr>
        <w:t xml:space="preserve"> propone il mutuo riconoscimento: </w:t>
      </w:r>
      <w:r w:rsidRPr="00851A52">
        <w:rPr>
          <w:rFonts w:ascii="Times New Roman" w:hAnsi="Times New Roman" w:cs="Times New Roman"/>
          <w:b/>
          <w:sz w:val="28"/>
          <w:szCs w:val="28"/>
        </w:rPr>
        <w:t>l’alterità si radica nel pensiero del riconoscimento come ciò che lo sorregge e lo struttura</w:t>
      </w:r>
      <w:r w:rsidRPr="00851A52">
        <w:rPr>
          <w:rFonts w:ascii="Times New Roman" w:hAnsi="Times New Roman" w:cs="Times New Roman"/>
          <w:sz w:val="28"/>
          <w:szCs w:val="28"/>
        </w:rPr>
        <w:t>. Sulla linea di Kant, l’altro si presenta come un “centro di obbligazione per me”. “Con il ‘rispetto’ l’io si limita, l’altro è posto come valore assoluto, come esistenza e come radicalmente diverso dalle cose, ossia come fine”.</w:t>
      </w:r>
      <w:r w:rsidRPr="00851A52">
        <w:rPr>
          <w:rStyle w:val="Rimandonotaapidipagina"/>
          <w:rFonts w:ascii="Times New Roman" w:hAnsi="Times New Roman" w:cs="Times New Roman"/>
          <w:sz w:val="28"/>
          <w:szCs w:val="28"/>
        </w:rPr>
        <w:footnoteReference w:id="5"/>
      </w:r>
      <w:r w:rsidRPr="00851A52">
        <w:rPr>
          <w:rFonts w:ascii="Times New Roman" w:hAnsi="Times New Roman" w:cs="Times New Roman"/>
          <w:sz w:val="28"/>
          <w:szCs w:val="28"/>
        </w:rPr>
        <w:t xml:space="preserve"> Un riconoscimento che non significa identificazione ma rapporto di reciprocità.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Il percorso seguito da </w:t>
      </w:r>
      <w:proofErr w:type="spellStart"/>
      <w:r w:rsidRPr="00851A52">
        <w:rPr>
          <w:rFonts w:ascii="Times New Roman" w:hAnsi="Times New Roman" w:cs="Times New Roman"/>
          <w:sz w:val="28"/>
          <w:szCs w:val="28"/>
        </w:rPr>
        <w:t>Ricoeur</w:t>
      </w:r>
      <w:proofErr w:type="spellEnd"/>
      <w:r w:rsidRPr="00851A52">
        <w:rPr>
          <w:rFonts w:ascii="Times New Roman" w:hAnsi="Times New Roman" w:cs="Times New Roman"/>
          <w:sz w:val="28"/>
          <w:szCs w:val="28"/>
        </w:rPr>
        <w:t xml:space="preserve"> procede, da </w:t>
      </w:r>
      <w:r w:rsidRPr="00851A52">
        <w:rPr>
          <w:rFonts w:ascii="Times New Roman" w:hAnsi="Times New Roman" w:cs="Times New Roman"/>
          <w:i/>
          <w:sz w:val="28"/>
          <w:szCs w:val="28"/>
        </w:rPr>
        <w:t>Il volontario e l’involontario</w:t>
      </w:r>
      <w:r w:rsidRPr="00851A52">
        <w:rPr>
          <w:rFonts w:ascii="Times New Roman" w:hAnsi="Times New Roman" w:cs="Times New Roman"/>
          <w:sz w:val="28"/>
          <w:szCs w:val="28"/>
        </w:rPr>
        <w:t xml:space="preserve"> fino a </w:t>
      </w:r>
      <w:r w:rsidRPr="00851A52">
        <w:rPr>
          <w:rFonts w:ascii="Times New Roman" w:hAnsi="Times New Roman" w:cs="Times New Roman"/>
          <w:i/>
          <w:sz w:val="28"/>
          <w:szCs w:val="28"/>
        </w:rPr>
        <w:t>Sé come un altro</w:t>
      </w:r>
      <w:r w:rsidRPr="00851A52">
        <w:rPr>
          <w:rFonts w:ascii="Times New Roman" w:hAnsi="Times New Roman" w:cs="Times New Roman"/>
          <w:sz w:val="28"/>
          <w:szCs w:val="28"/>
        </w:rPr>
        <w:t xml:space="preserve">, sulla linea non solo dell’alterità dell’altro, ma </w:t>
      </w:r>
      <w:r w:rsidRPr="00851A52">
        <w:rPr>
          <w:rFonts w:ascii="Times New Roman" w:hAnsi="Times New Roman" w:cs="Times New Roman"/>
          <w:b/>
          <w:sz w:val="28"/>
          <w:szCs w:val="28"/>
        </w:rPr>
        <w:t>verso la scoperta di una alterità intima propria del soggetto</w:t>
      </w:r>
      <w:r w:rsidRPr="00851A52">
        <w:rPr>
          <w:rFonts w:ascii="Times New Roman" w:hAnsi="Times New Roman" w:cs="Times New Roman"/>
          <w:sz w:val="28"/>
          <w:szCs w:val="28"/>
        </w:rPr>
        <w:t xml:space="preserve">. Si delinea sempre meglio la questione dell’alterità in rapporto a me stesso: il sé e l’altro non sono più pensati come elementi separati che si presuppongono o si offrono alla comparazione. </w:t>
      </w:r>
      <w:proofErr w:type="spellStart"/>
      <w:r w:rsidRPr="00851A52">
        <w:rPr>
          <w:rFonts w:ascii="Times New Roman" w:hAnsi="Times New Roman" w:cs="Times New Roman"/>
          <w:sz w:val="28"/>
          <w:szCs w:val="28"/>
        </w:rPr>
        <w:t>Ricoeur</w:t>
      </w:r>
      <w:proofErr w:type="spellEnd"/>
      <w:r w:rsidRPr="00851A52">
        <w:rPr>
          <w:rFonts w:ascii="Times New Roman" w:hAnsi="Times New Roman" w:cs="Times New Roman"/>
          <w:sz w:val="28"/>
          <w:szCs w:val="28"/>
        </w:rPr>
        <w:t xml:space="preserve"> pensa un’alterità come «costitutiva dell’</w:t>
      </w:r>
      <w:proofErr w:type="spellStart"/>
      <w:r w:rsidRPr="00851A52">
        <w:rPr>
          <w:rFonts w:ascii="Times New Roman" w:hAnsi="Times New Roman" w:cs="Times New Roman"/>
          <w:sz w:val="28"/>
          <w:szCs w:val="28"/>
        </w:rPr>
        <w:t>ipseità</w:t>
      </w:r>
      <w:proofErr w:type="spellEnd"/>
      <w:r w:rsidRPr="00851A52">
        <w:rPr>
          <w:rFonts w:ascii="Times New Roman" w:hAnsi="Times New Roman" w:cs="Times New Roman"/>
          <w:sz w:val="28"/>
          <w:szCs w:val="28"/>
        </w:rPr>
        <w:t xml:space="preserve"> stessa. </w:t>
      </w:r>
      <w:r w:rsidRPr="00851A52">
        <w:rPr>
          <w:rFonts w:ascii="Times New Roman" w:hAnsi="Times New Roman" w:cs="Times New Roman"/>
          <w:i/>
          <w:sz w:val="28"/>
          <w:szCs w:val="28"/>
        </w:rPr>
        <w:t>Sé come un altro</w:t>
      </w:r>
      <w:r w:rsidRPr="00851A52">
        <w:rPr>
          <w:rFonts w:ascii="Times New Roman" w:hAnsi="Times New Roman" w:cs="Times New Roman"/>
          <w:sz w:val="28"/>
          <w:szCs w:val="28"/>
        </w:rPr>
        <w:t xml:space="preserve"> suggerisce fin dall’inizio che l’</w:t>
      </w:r>
      <w:proofErr w:type="spellStart"/>
      <w:r w:rsidRPr="00851A52">
        <w:rPr>
          <w:rFonts w:ascii="Times New Roman" w:hAnsi="Times New Roman" w:cs="Times New Roman"/>
          <w:sz w:val="28"/>
          <w:szCs w:val="28"/>
        </w:rPr>
        <w:t>ipseità</w:t>
      </w:r>
      <w:proofErr w:type="spellEnd"/>
      <w:r w:rsidRPr="00851A52">
        <w:rPr>
          <w:rFonts w:ascii="Times New Roman" w:hAnsi="Times New Roman" w:cs="Times New Roman"/>
          <w:sz w:val="28"/>
          <w:szCs w:val="28"/>
        </w:rPr>
        <w:t xml:space="preserve"> del se stesso implica l’alterità ad un grado così intimo che l’una non si lascia pensare senza l’altra, che l’una passa piuttosto nell’altra […]se stesso somigliante ad un altro, ma ad una implicanza: sé in quanto…altro».</w:t>
      </w:r>
      <w:r w:rsidRPr="00851A52">
        <w:rPr>
          <w:rStyle w:val="Rimandonotaapidipagina"/>
          <w:rFonts w:ascii="Times New Roman" w:hAnsi="Times New Roman" w:cs="Times New Roman"/>
          <w:sz w:val="28"/>
          <w:szCs w:val="28"/>
        </w:rPr>
        <w:footnoteReference w:id="6"/>
      </w:r>
    </w:p>
    <w:p w:rsidR="00D75B76" w:rsidRPr="00851A52" w:rsidRDefault="00D75B76" w:rsidP="00D75B76">
      <w:pPr>
        <w:spacing w:line="240" w:lineRule="auto"/>
        <w:jc w:val="both"/>
        <w:rPr>
          <w:rFonts w:ascii="Times New Roman" w:hAnsi="Times New Roman" w:cs="Times New Roman"/>
          <w:b/>
          <w:sz w:val="28"/>
          <w:szCs w:val="28"/>
        </w:rPr>
      </w:pPr>
      <w:r w:rsidRPr="00851A52">
        <w:rPr>
          <w:rFonts w:ascii="Times New Roman" w:hAnsi="Times New Roman" w:cs="Times New Roman"/>
          <w:b/>
          <w:sz w:val="28"/>
          <w:szCs w:val="28"/>
        </w:rPr>
        <w:t>Alterità come dimensione ontologica: l’ontologicamente altro (spirito) e l’alterità come</w:t>
      </w:r>
      <w:r w:rsidRPr="00851A52">
        <w:rPr>
          <w:rFonts w:ascii="Times New Roman" w:hAnsi="Times New Roman" w:cs="Times New Roman"/>
          <w:sz w:val="28"/>
          <w:szCs w:val="28"/>
        </w:rPr>
        <w:t xml:space="preserve"> </w:t>
      </w:r>
      <w:r w:rsidRPr="00851A52">
        <w:rPr>
          <w:rFonts w:ascii="Times New Roman" w:hAnsi="Times New Roman" w:cs="Times New Roman"/>
          <w:b/>
          <w:sz w:val="28"/>
          <w:szCs w:val="28"/>
        </w:rPr>
        <w:t>dono d’essere</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Questi brevi riferimenti a </w:t>
      </w:r>
      <w:proofErr w:type="spellStart"/>
      <w:r w:rsidRPr="00851A52">
        <w:rPr>
          <w:rFonts w:ascii="Times New Roman" w:hAnsi="Times New Roman" w:cs="Times New Roman"/>
          <w:sz w:val="28"/>
          <w:szCs w:val="28"/>
        </w:rPr>
        <w:t>Levinas</w:t>
      </w:r>
      <w:proofErr w:type="spellEnd"/>
      <w:r w:rsidRPr="00851A52">
        <w:rPr>
          <w:rFonts w:ascii="Times New Roman" w:hAnsi="Times New Roman" w:cs="Times New Roman"/>
          <w:sz w:val="28"/>
          <w:szCs w:val="28"/>
        </w:rPr>
        <w:t xml:space="preserve"> e </w:t>
      </w:r>
      <w:proofErr w:type="spellStart"/>
      <w:r w:rsidRPr="00851A52">
        <w:rPr>
          <w:rFonts w:ascii="Times New Roman" w:hAnsi="Times New Roman" w:cs="Times New Roman"/>
          <w:sz w:val="28"/>
          <w:szCs w:val="28"/>
        </w:rPr>
        <w:t>Ricoeur</w:t>
      </w:r>
      <w:proofErr w:type="spellEnd"/>
      <w:r w:rsidRPr="00851A52">
        <w:rPr>
          <w:rFonts w:ascii="Times New Roman" w:hAnsi="Times New Roman" w:cs="Times New Roman"/>
          <w:sz w:val="28"/>
          <w:szCs w:val="28"/>
        </w:rPr>
        <w:t xml:space="preserve">, ci permettono di cogliere l’orientamento della riflessione: l’alterità indica una differenza non solo fra gli uomini, ma all’interno dell’uomo stesso.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lastRenderedPageBreak/>
        <w:t xml:space="preserve">L’impossibilità di pensare l’uomo a partire dai suoi presupposti, fondamentalmente </w:t>
      </w:r>
      <w:proofErr w:type="spellStart"/>
      <w:r w:rsidRPr="00851A52">
        <w:rPr>
          <w:rFonts w:ascii="Times New Roman" w:hAnsi="Times New Roman" w:cs="Times New Roman"/>
          <w:sz w:val="28"/>
          <w:szCs w:val="28"/>
        </w:rPr>
        <w:t>egologici</w:t>
      </w:r>
      <w:proofErr w:type="spellEnd"/>
      <w:r w:rsidRPr="00851A52">
        <w:rPr>
          <w:rFonts w:ascii="Times New Roman" w:hAnsi="Times New Roman" w:cs="Times New Roman"/>
          <w:sz w:val="28"/>
          <w:szCs w:val="28"/>
        </w:rPr>
        <w:t xml:space="preserve"> da una parte e radicati nella lettura del corpo dall’altra, ci riporta alla essenziale irriducibilità di ciò che diciamo essere uomo. </w:t>
      </w:r>
      <w:r w:rsidR="00F50EE4" w:rsidRPr="00851A52">
        <w:rPr>
          <w:rFonts w:ascii="Times New Roman" w:hAnsi="Times New Roman" w:cs="Times New Roman"/>
          <w:sz w:val="28"/>
          <w:szCs w:val="28"/>
        </w:rPr>
        <w:t xml:space="preserve">Cosa indica </w:t>
      </w:r>
      <w:r w:rsidR="00F50EE4" w:rsidRPr="00851A52">
        <w:rPr>
          <w:rFonts w:ascii="Times New Roman" w:hAnsi="Times New Roman" w:cs="Times New Roman"/>
          <w:sz w:val="28"/>
          <w:szCs w:val="28"/>
        </w:rPr>
        <w:t>tale irriducibi</w:t>
      </w:r>
      <w:r w:rsidR="00F50EE4" w:rsidRPr="00851A52">
        <w:rPr>
          <w:rFonts w:ascii="Times New Roman" w:hAnsi="Times New Roman" w:cs="Times New Roman"/>
          <w:sz w:val="28"/>
          <w:szCs w:val="28"/>
        </w:rPr>
        <w:t>lità</w:t>
      </w:r>
      <w:r w:rsidRPr="00851A52">
        <w:rPr>
          <w:rFonts w:ascii="Times New Roman" w:hAnsi="Times New Roman" w:cs="Times New Roman"/>
          <w:sz w:val="28"/>
          <w:szCs w:val="28"/>
        </w:rPr>
        <w:t xml:space="preserve">? </w:t>
      </w:r>
    </w:p>
    <w:p w:rsidR="00F50EE4" w:rsidRPr="00851A52" w:rsidRDefault="00F50EE4" w:rsidP="00D75B76">
      <w:pPr>
        <w:pStyle w:val="Nessunaspaziatura"/>
        <w:jc w:val="both"/>
        <w:rPr>
          <w:rFonts w:ascii="Times New Roman" w:hAnsi="Times New Roman" w:cs="Times New Roman"/>
          <w:sz w:val="28"/>
          <w:szCs w:val="28"/>
        </w:rPr>
      </w:pPr>
      <w:r w:rsidRPr="00851A52">
        <w:rPr>
          <w:rFonts w:ascii="Times New Roman" w:hAnsi="Times New Roman" w:cs="Times New Roman"/>
          <w:sz w:val="28"/>
          <w:szCs w:val="28"/>
        </w:rPr>
        <w:t xml:space="preserve">Qual è lo </w:t>
      </w:r>
      <w:r w:rsidR="00D75B76" w:rsidRPr="00851A52">
        <w:rPr>
          <w:rFonts w:ascii="Times New Roman" w:hAnsi="Times New Roman" w:cs="Times New Roman"/>
          <w:sz w:val="28"/>
          <w:szCs w:val="28"/>
        </w:rPr>
        <w:t xml:space="preserve">statuto ontologico dell’alterità: non solo “dove e come trovare l’altro”, ma “cosa è l’alterità” tanto da essere costitutiva dell’essere dell’uomo? </w:t>
      </w:r>
    </w:p>
    <w:p w:rsidR="00F50EE4" w:rsidRPr="00851A52" w:rsidRDefault="00D75B76" w:rsidP="00D75B76">
      <w:pPr>
        <w:pStyle w:val="Nessunaspaziatura"/>
        <w:jc w:val="both"/>
        <w:rPr>
          <w:rFonts w:ascii="Times New Roman" w:hAnsi="Times New Roman" w:cs="Times New Roman"/>
          <w:sz w:val="28"/>
          <w:szCs w:val="28"/>
        </w:rPr>
      </w:pPr>
      <w:r w:rsidRPr="00851A52">
        <w:rPr>
          <w:rFonts w:ascii="Times New Roman" w:hAnsi="Times New Roman" w:cs="Times New Roman"/>
          <w:sz w:val="28"/>
          <w:szCs w:val="28"/>
        </w:rPr>
        <w:t xml:space="preserve">Può essere detta l’alterità attraverso la categoria di sostanza? </w:t>
      </w:r>
    </w:p>
    <w:p w:rsidR="00F50EE4" w:rsidRPr="00851A52" w:rsidRDefault="00F50EE4" w:rsidP="00D75B76">
      <w:pPr>
        <w:pStyle w:val="Nessunaspaziatura"/>
        <w:jc w:val="both"/>
        <w:rPr>
          <w:rFonts w:ascii="Times New Roman" w:hAnsi="Times New Roman" w:cs="Times New Roman"/>
          <w:sz w:val="28"/>
          <w:szCs w:val="28"/>
        </w:rPr>
      </w:pPr>
    </w:p>
    <w:p w:rsidR="00F50EE4" w:rsidRPr="00851A52" w:rsidRDefault="00D75B76" w:rsidP="00D75B76">
      <w:pPr>
        <w:pStyle w:val="Nessunaspaziatura"/>
        <w:jc w:val="both"/>
        <w:rPr>
          <w:rFonts w:ascii="Times New Roman" w:hAnsi="Times New Roman" w:cs="Times New Roman"/>
          <w:sz w:val="28"/>
          <w:szCs w:val="28"/>
        </w:rPr>
      </w:pPr>
      <w:r w:rsidRPr="00851A52">
        <w:rPr>
          <w:rFonts w:ascii="Times New Roman" w:hAnsi="Times New Roman" w:cs="Times New Roman"/>
          <w:sz w:val="28"/>
          <w:szCs w:val="28"/>
        </w:rPr>
        <w:t xml:space="preserve">Secondo quanto afferma </w:t>
      </w:r>
      <w:r w:rsidRPr="00851A52">
        <w:rPr>
          <w:rFonts w:ascii="Times New Roman" w:hAnsi="Times New Roman" w:cs="Times New Roman"/>
          <w:b/>
          <w:sz w:val="28"/>
          <w:szCs w:val="28"/>
        </w:rPr>
        <w:t>Calogero Peri</w:t>
      </w:r>
      <w:r w:rsidRPr="00851A52">
        <w:rPr>
          <w:rFonts w:ascii="Times New Roman" w:hAnsi="Times New Roman" w:cs="Times New Roman"/>
          <w:sz w:val="28"/>
          <w:szCs w:val="28"/>
        </w:rPr>
        <w:t xml:space="preserve">, se non si riconoscesse l’alterità come sostanza sarebbe difficile mantenere le differenze che si debbono ammettere in antropologia, e l’alterità si ridurrebbe ad una modificazione del medesimo, un modo diverso dell’essere corporeo. </w:t>
      </w:r>
    </w:p>
    <w:p w:rsidR="00F50EE4" w:rsidRPr="00851A52" w:rsidRDefault="00D75B76" w:rsidP="00D75B76">
      <w:pPr>
        <w:pStyle w:val="Nessunaspaziatura"/>
        <w:jc w:val="both"/>
        <w:rPr>
          <w:rFonts w:ascii="Times New Roman" w:hAnsi="Times New Roman" w:cs="Times New Roman"/>
          <w:sz w:val="28"/>
          <w:szCs w:val="28"/>
        </w:rPr>
      </w:pPr>
      <w:r w:rsidRPr="00851A52">
        <w:rPr>
          <w:rFonts w:ascii="Times New Roman" w:hAnsi="Times New Roman" w:cs="Times New Roman"/>
          <w:sz w:val="28"/>
          <w:szCs w:val="28"/>
        </w:rPr>
        <w:t>L’alterità ontologica, invece, può spiegare e manifestare nell’uomo il fondamento originario ed originale del suo essere. Questo fondamento, esplicitato come alterità, deve essere ammesso per dare un significato umano sia alle parole, al pensiero o al volere capace di decidere di un’esistenza.</w:t>
      </w:r>
      <w:r w:rsidRPr="00851A52">
        <w:rPr>
          <w:rStyle w:val="Rimandonotaapidipagina"/>
          <w:rFonts w:ascii="Times New Roman" w:hAnsi="Times New Roman" w:cs="Times New Roman"/>
          <w:sz w:val="28"/>
          <w:szCs w:val="28"/>
        </w:rPr>
        <w:footnoteReference w:id="7"/>
      </w:r>
      <w:r w:rsidRPr="00851A52">
        <w:rPr>
          <w:rFonts w:ascii="Times New Roman" w:hAnsi="Times New Roman" w:cs="Times New Roman"/>
          <w:sz w:val="28"/>
          <w:szCs w:val="28"/>
        </w:rPr>
        <w:t xml:space="preserve"> </w:t>
      </w:r>
    </w:p>
    <w:p w:rsidR="00F50EE4" w:rsidRPr="00851A52" w:rsidRDefault="00F50EE4" w:rsidP="00D75B76">
      <w:pPr>
        <w:pStyle w:val="Nessunaspaziatura"/>
        <w:jc w:val="both"/>
        <w:rPr>
          <w:rFonts w:ascii="Times New Roman" w:hAnsi="Times New Roman" w:cs="Times New Roman"/>
          <w:sz w:val="28"/>
          <w:szCs w:val="28"/>
        </w:rPr>
      </w:pPr>
    </w:p>
    <w:p w:rsidR="00D75B76" w:rsidRPr="00851A52" w:rsidRDefault="00D75B76" w:rsidP="00D75B76">
      <w:pPr>
        <w:pStyle w:val="Nessunaspaziatura"/>
        <w:jc w:val="both"/>
        <w:rPr>
          <w:rFonts w:ascii="Times New Roman" w:hAnsi="Times New Roman" w:cs="Times New Roman"/>
          <w:sz w:val="28"/>
          <w:szCs w:val="28"/>
        </w:rPr>
      </w:pPr>
      <w:r w:rsidRPr="00851A52">
        <w:rPr>
          <w:rFonts w:ascii="Times New Roman" w:hAnsi="Times New Roman" w:cs="Times New Roman"/>
          <w:sz w:val="28"/>
          <w:szCs w:val="28"/>
        </w:rPr>
        <w:t>Parlare di sostanza sembra ricondurre a rappresentazioni che di fatto sarebbero fuorvianti, come ad esempio quella che la penserebbe come un supporto inalterabile e inattingibile. La purificazione di questa categoria, pertanto, è necessaria e richiesta al fine di non ridurre l’esistenza cosciente ad un accidente psicologico. Certamente il soggetto non è determinato dal concetto e dalla sua universalità logica, questo serve per dare un nome alla sua particolarità. Il soggetto è determinato unicamente perché l’alterità particolare è singolare, non può esistere che singolarmente sostanziale. La determinazione sostanziale, la differenza personale costitutiva che fa di ogni soggetto un unicum è l’alterità personale. L’alterità, pertanto, non si riduce al pensiero, ma alla sua essenza e questa alla sua sostanza singolare.</w:t>
      </w:r>
      <w:r w:rsidRPr="00851A52">
        <w:rPr>
          <w:rStyle w:val="Rimandonotaapidipagina"/>
          <w:rFonts w:ascii="Times New Roman" w:hAnsi="Times New Roman" w:cs="Times New Roman"/>
          <w:sz w:val="28"/>
          <w:szCs w:val="28"/>
        </w:rPr>
        <w:footnoteReference w:id="8"/>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La determinazione sostanziale e particolare dice l’alterità quale identità del soggetto facendomi altro da ciò che penso, da ciò che faccio, ma anche da come posso pensarmi, volermi e farmi. E questo perché non posso costituire il “me” della coscienza, in quanto sono ancora più originario di ciò che voglio e faccio di </w:t>
      </w:r>
      <w:r w:rsidRPr="00851A52">
        <w:rPr>
          <w:rFonts w:ascii="Times New Roman" w:hAnsi="Times New Roman" w:cs="Times New Roman"/>
          <w:i/>
          <w:sz w:val="28"/>
          <w:szCs w:val="28"/>
        </w:rPr>
        <w:t>me</w:t>
      </w:r>
      <w:r w:rsidRPr="00851A52">
        <w:rPr>
          <w:rFonts w:ascii="Times New Roman" w:hAnsi="Times New Roman" w:cs="Times New Roman"/>
          <w:sz w:val="28"/>
          <w:szCs w:val="28"/>
        </w:rPr>
        <w:t>.</w:t>
      </w:r>
      <w:r w:rsidRPr="00851A52">
        <w:rPr>
          <w:rStyle w:val="Rimandonotaapidipagina"/>
          <w:rFonts w:ascii="Times New Roman" w:hAnsi="Times New Roman" w:cs="Times New Roman"/>
          <w:sz w:val="28"/>
          <w:szCs w:val="28"/>
        </w:rPr>
        <w:footnoteReference w:id="9"/>
      </w:r>
    </w:p>
    <w:p w:rsidR="009D526E"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Da qui l’esigenza di continuare la riflessione sull’essenza dell’alterità e dunque pensare lo statuto ontologico dell’uomo come un “unico”, una “sostanza” che non è una cosa, ma un “altra cosa”, ossia, spirito.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«Lo spirito si manifesta nell’essere come ciò che è altro rispetto alla materia, e ciò che è altro si presenta come spirito. E quando lo spirito è presente nella materia l’investe di un dinamismo che l’anima e la trasfigura».</w:t>
      </w:r>
      <w:r w:rsidRPr="00851A52">
        <w:rPr>
          <w:rStyle w:val="Rimandonotaapidipagina"/>
          <w:rFonts w:ascii="Times New Roman" w:hAnsi="Times New Roman" w:cs="Times New Roman"/>
          <w:sz w:val="28"/>
          <w:szCs w:val="28"/>
        </w:rPr>
        <w:footnoteReference w:id="10"/>
      </w:r>
      <w:r w:rsidRPr="00851A52">
        <w:rPr>
          <w:rFonts w:ascii="Times New Roman" w:hAnsi="Times New Roman" w:cs="Times New Roman"/>
          <w:sz w:val="28"/>
          <w:szCs w:val="28"/>
        </w:rPr>
        <w:t xml:space="preserve"> La necessità di identificazione di ciò che è ontologicamente altro con lo spirito è data dall’impossibilità di riconduzione allo statuto del corpo: lo spirito è un altro essere. </w:t>
      </w:r>
    </w:p>
    <w:p w:rsidR="009D526E"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lastRenderedPageBreak/>
        <w:t>Dall’affermazione che l’alterità fonda una differenza ontologica irriducibile al puro fenomeno naturale, ne risulta che l’uomo è insieme manifestazione corporea e spirituale. Viene evitato ogni dualismo perché proprio l’alterità ontologica dell’uomo si manifesta nell’ordine naturale al quale però non si riduce.</w:t>
      </w:r>
      <w:r w:rsidRPr="00851A52">
        <w:rPr>
          <w:rStyle w:val="Rimandonotaapidipagina"/>
          <w:rFonts w:ascii="Times New Roman" w:hAnsi="Times New Roman" w:cs="Times New Roman"/>
          <w:sz w:val="28"/>
          <w:szCs w:val="28"/>
        </w:rPr>
        <w:footnoteReference w:id="11"/>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Lo spirito è ugualmente </w:t>
      </w:r>
      <w:r w:rsidRPr="00851A52">
        <w:rPr>
          <w:rFonts w:ascii="Times New Roman" w:hAnsi="Times New Roman" w:cs="Times New Roman"/>
          <w:b/>
          <w:sz w:val="28"/>
          <w:szCs w:val="28"/>
        </w:rPr>
        <w:t>altro dal logos</w:t>
      </w:r>
      <w:r w:rsidRPr="00851A52">
        <w:rPr>
          <w:rFonts w:ascii="Times New Roman" w:hAnsi="Times New Roman" w:cs="Times New Roman"/>
          <w:sz w:val="28"/>
          <w:szCs w:val="28"/>
        </w:rPr>
        <w:t>, non è il pensiero, né l’intelligenza o la determinazione del concetto, e questo perché «il logos è universale, mentre lo spirito proprio di ogni soggetto è essenza singolare, è singolarità particolare. […] Lo spirito è l’essere diverso, la matrice sostanziale, che risponde unicamente non solo del pensiero, ma dell’alterità dell’uomo rispetto a tutte le sue manifestazioni».</w:t>
      </w:r>
      <w:r w:rsidRPr="00851A52">
        <w:rPr>
          <w:rStyle w:val="Rimandonotaapidipagina"/>
          <w:rFonts w:ascii="Times New Roman" w:hAnsi="Times New Roman" w:cs="Times New Roman"/>
          <w:sz w:val="28"/>
          <w:szCs w:val="28"/>
        </w:rPr>
        <w:footnoteReference w:id="12"/>
      </w:r>
    </w:p>
    <w:p w:rsidR="009D526E"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b/>
          <w:sz w:val="28"/>
          <w:szCs w:val="28"/>
        </w:rPr>
        <w:t>Senza una determinazione ontologica altra, non si darebbe una vera alterità, il riconoscimento cioè, dell’essere-altro dell’uomo</w:t>
      </w:r>
      <w:r w:rsidRPr="00851A52">
        <w:rPr>
          <w:rFonts w:ascii="Times New Roman" w:hAnsi="Times New Roman" w:cs="Times New Roman"/>
          <w:sz w:val="28"/>
          <w:szCs w:val="28"/>
        </w:rPr>
        <w:t>. La questione antropologica, pertanto, si rivela profondamente ancorata all’orizzonte metafisico. Solo dopo aver affermato l’alterità all’interno dello stesso individuo, l’alterità che io sono, è possibile pensare e sapere chi sia l’altro in sé, e in nome di cosa invochi e provochi, esiga e mi obblighi, al riconoscimento in quanto altro e non semplicemente diverso da me. Ogni uomo è “un altro per essere se stesso” ed è “un altro di ogni altro”,</w:t>
      </w:r>
      <w:r w:rsidRPr="00851A52">
        <w:rPr>
          <w:rStyle w:val="Rimandonotaapidipagina"/>
          <w:rFonts w:ascii="Times New Roman" w:hAnsi="Times New Roman" w:cs="Times New Roman"/>
          <w:sz w:val="28"/>
          <w:szCs w:val="28"/>
        </w:rPr>
        <w:footnoteReference w:id="13"/>
      </w:r>
      <w:r w:rsidRPr="00851A52">
        <w:rPr>
          <w:rFonts w:ascii="Times New Roman" w:hAnsi="Times New Roman" w:cs="Times New Roman"/>
          <w:sz w:val="28"/>
          <w:szCs w:val="28"/>
        </w:rPr>
        <w:t xml:space="preserve"> l’uomo non è semplicemente spirito (altro), ma </w:t>
      </w:r>
      <w:r w:rsidRPr="00851A52">
        <w:rPr>
          <w:rFonts w:ascii="Times New Roman" w:hAnsi="Times New Roman" w:cs="Times New Roman"/>
          <w:i/>
          <w:sz w:val="28"/>
          <w:szCs w:val="28"/>
        </w:rPr>
        <w:t>questo</w:t>
      </w:r>
      <w:r w:rsidRPr="00851A52">
        <w:rPr>
          <w:rFonts w:ascii="Times New Roman" w:hAnsi="Times New Roman" w:cs="Times New Roman"/>
          <w:sz w:val="28"/>
          <w:szCs w:val="28"/>
        </w:rPr>
        <w:t xml:space="preserve"> spirito, un modo particolare d’essere spirito.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Il mio essere spirito come sostanza, mi assicura che io non posso cambiarne l’essenza, non posso cambiarlo in altro. Questo spiega «perché io non sono esattamente ciò che divengo: una storia, un bilancio, un risultato ma, dal primo istante fino all’ultimo, sempre e sostanzialmente altro. […] L’uomo è uomo non secondo la logica dell’identità, ma secondo quella dell’alterità costitutiva».</w:t>
      </w:r>
      <w:r w:rsidRPr="00851A52">
        <w:rPr>
          <w:rStyle w:val="Rimandonotaapidipagina"/>
          <w:rFonts w:ascii="Times New Roman" w:hAnsi="Times New Roman" w:cs="Times New Roman"/>
          <w:sz w:val="28"/>
          <w:szCs w:val="28"/>
        </w:rPr>
        <w:footnoteReference w:id="14"/>
      </w:r>
    </w:p>
    <w:p w:rsidR="009D526E"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L’essenza particolare ed unica dello </w:t>
      </w:r>
      <w:r w:rsidRPr="00851A52">
        <w:rPr>
          <w:rFonts w:ascii="Times New Roman" w:hAnsi="Times New Roman" w:cs="Times New Roman"/>
          <w:b/>
          <w:sz w:val="28"/>
          <w:szCs w:val="28"/>
        </w:rPr>
        <w:t>spirito fonda in maniera ontologica</w:t>
      </w:r>
      <w:r w:rsidRPr="00851A52">
        <w:rPr>
          <w:rFonts w:ascii="Times New Roman" w:hAnsi="Times New Roman" w:cs="Times New Roman"/>
          <w:sz w:val="28"/>
          <w:szCs w:val="28"/>
        </w:rPr>
        <w:t>, e non in funzione di un affetto o di un sentimento, il riconoscimento di ogni uomo come un unicum. «Ogni uomo è una novità assoluta, è un modo e un mondo umano a parte, è qualcosa di originale, di inedito, che non è possibile incontrare in un altro».</w:t>
      </w:r>
      <w:r w:rsidRPr="00851A52">
        <w:rPr>
          <w:rStyle w:val="Rimandonotaapidipagina"/>
          <w:rFonts w:ascii="Times New Roman" w:hAnsi="Times New Roman" w:cs="Times New Roman"/>
          <w:sz w:val="28"/>
          <w:szCs w:val="28"/>
        </w:rPr>
        <w:footnoteReference w:id="15"/>
      </w:r>
      <w:r w:rsidRPr="00851A52">
        <w:rPr>
          <w:rFonts w:ascii="Times New Roman" w:hAnsi="Times New Roman" w:cs="Times New Roman"/>
          <w:sz w:val="28"/>
          <w:szCs w:val="28"/>
        </w:rPr>
        <w:t xml:space="preserve"> Questo </w:t>
      </w:r>
      <w:proofErr w:type="spellStart"/>
      <w:r w:rsidRPr="00851A52">
        <w:rPr>
          <w:rFonts w:ascii="Times New Roman" w:hAnsi="Times New Roman" w:cs="Times New Roman"/>
          <w:sz w:val="28"/>
          <w:szCs w:val="28"/>
        </w:rPr>
        <w:t>proprium</w:t>
      </w:r>
      <w:proofErr w:type="spellEnd"/>
      <w:r w:rsidRPr="00851A52">
        <w:rPr>
          <w:rFonts w:ascii="Times New Roman" w:hAnsi="Times New Roman" w:cs="Times New Roman"/>
          <w:sz w:val="28"/>
          <w:szCs w:val="28"/>
        </w:rPr>
        <w:t xml:space="preserve"> sostanziale dell’uomo, questo essere personale non può che designarsi con il termine ‘dono’.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Ognuno è un dono d’essere e tutta la sua essenza è d’essere un </w:t>
      </w:r>
      <w:r w:rsidRPr="00851A52">
        <w:rPr>
          <w:rFonts w:ascii="Times New Roman" w:hAnsi="Times New Roman" w:cs="Times New Roman"/>
          <w:b/>
          <w:i/>
          <w:sz w:val="28"/>
          <w:szCs w:val="28"/>
        </w:rPr>
        <w:t>essere-di-dono</w:t>
      </w:r>
      <w:r w:rsidRPr="00851A52">
        <w:rPr>
          <w:rFonts w:ascii="Times New Roman" w:hAnsi="Times New Roman" w:cs="Times New Roman"/>
          <w:b/>
          <w:sz w:val="28"/>
          <w:szCs w:val="28"/>
        </w:rPr>
        <w:t>.</w:t>
      </w:r>
      <w:r w:rsidRPr="00851A52">
        <w:rPr>
          <w:rFonts w:ascii="Times New Roman" w:hAnsi="Times New Roman" w:cs="Times New Roman"/>
          <w:sz w:val="28"/>
          <w:szCs w:val="28"/>
        </w:rPr>
        <w:t xml:space="preserve"> Gli spetta questo termine in quanto </w:t>
      </w:r>
      <w:r w:rsidRPr="00851A52">
        <w:rPr>
          <w:rFonts w:ascii="Times New Roman" w:hAnsi="Times New Roman" w:cs="Times New Roman"/>
          <w:b/>
          <w:sz w:val="28"/>
          <w:szCs w:val="28"/>
        </w:rPr>
        <w:t>l’essere spirituale non deriva né procede né si deduce</w:t>
      </w:r>
      <w:r w:rsidRPr="00851A52">
        <w:rPr>
          <w:rFonts w:ascii="Times New Roman" w:hAnsi="Times New Roman" w:cs="Times New Roman"/>
          <w:sz w:val="28"/>
          <w:szCs w:val="28"/>
        </w:rPr>
        <w:t xml:space="preserve">. Non si aggiunge al soggetto. L’essere donato è ciò che lo costituisce immediatamente, nella totalità di ciò che è. Non fa riferimento ad altro che lo precede, la sua essenza non diviene da altro, non porta iscritto in sé alcun segno di identità perché l’uomo è identificabile con la sua alterità. La riflessione sull’atto costitutivo dell’uomo, sul suo </w:t>
      </w:r>
      <w:proofErr w:type="spellStart"/>
      <w:r w:rsidRPr="00851A52">
        <w:rPr>
          <w:rFonts w:ascii="Times New Roman" w:hAnsi="Times New Roman" w:cs="Times New Roman"/>
          <w:sz w:val="28"/>
          <w:szCs w:val="28"/>
        </w:rPr>
        <w:t>dono-d’essere</w:t>
      </w:r>
      <w:proofErr w:type="spellEnd"/>
      <w:r w:rsidRPr="00851A52">
        <w:rPr>
          <w:rFonts w:ascii="Times New Roman" w:hAnsi="Times New Roman" w:cs="Times New Roman"/>
          <w:sz w:val="28"/>
          <w:szCs w:val="28"/>
        </w:rPr>
        <w:t xml:space="preserve">, si inscrive nell’ontologia propria di questo </w:t>
      </w:r>
      <w:r w:rsidRPr="00851A52">
        <w:rPr>
          <w:rFonts w:ascii="Times New Roman" w:hAnsi="Times New Roman" w:cs="Times New Roman"/>
          <w:i/>
          <w:sz w:val="28"/>
          <w:szCs w:val="28"/>
        </w:rPr>
        <w:t>unicum</w:t>
      </w:r>
      <w:r w:rsidR="009D526E" w:rsidRPr="00851A52">
        <w:rPr>
          <w:rFonts w:ascii="Times New Roman" w:hAnsi="Times New Roman" w:cs="Times New Roman"/>
          <w:sz w:val="28"/>
          <w:szCs w:val="28"/>
        </w:rPr>
        <w:t xml:space="preserve"> </w:t>
      </w:r>
      <w:r w:rsidR="009D526E" w:rsidRPr="00851A52">
        <w:rPr>
          <w:rFonts w:ascii="Times New Roman" w:hAnsi="Times New Roman" w:cs="Times New Roman"/>
          <w:sz w:val="28"/>
          <w:szCs w:val="28"/>
        </w:rPr>
        <w:lastRenderedPageBreak/>
        <w:t>che dice sé</w:t>
      </w:r>
      <w:r w:rsidRPr="00851A52">
        <w:rPr>
          <w:rFonts w:ascii="Times New Roman" w:hAnsi="Times New Roman" w:cs="Times New Roman"/>
          <w:sz w:val="28"/>
          <w:szCs w:val="28"/>
        </w:rPr>
        <w:t xml:space="preserve"> stesso ancora in maniera altra e che pertanto può essere denominata una “</w:t>
      </w:r>
      <w:proofErr w:type="spellStart"/>
      <w:r w:rsidRPr="00851A52">
        <w:rPr>
          <w:rFonts w:ascii="Times New Roman" w:hAnsi="Times New Roman" w:cs="Times New Roman"/>
          <w:sz w:val="28"/>
          <w:szCs w:val="28"/>
        </w:rPr>
        <w:t>dorontologia</w:t>
      </w:r>
      <w:proofErr w:type="spellEnd"/>
      <w:r w:rsidRPr="00851A52">
        <w:rPr>
          <w:rFonts w:ascii="Times New Roman" w:hAnsi="Times New Roman" w:cs="Times New Roman"/>
          <w:sz w:val="28"/>
          <w:szCs w:val="28"/>
        </w:rPr>
        <w:t>”.</w:t>
      </w:r>
      <w:r w:rsidRPr="00851A52">
        <w:rPr>
          <w:rStyle w:val="Rimandonotaapidipagina"/>
          <w:rFonts w:ascii="Times New Roman" w:hAnsi="Times New Roman" w:cs="Times New Roman"/>
          <w:sz w:val="28"/>
          <w:szCs w:val="28"/>
        </w:rPr>
        <w:footnoteReference w:id="16"/>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L</w:t>
      </w:r>
      <w:r w:rsidR="009D526E" w:rsidRPr="00851A52">
        <w:rPr>
          <w:rFonts w:ascii="Times New Roman" w:hAnsi="Times New Roman" w:cs="Times New Roman"/>
          <w:sz w:val="28"/>
          <w:szCs w:val="28"/>
        </w:rPr>
        <w:t>’uomo come essere-altro legge sé</w:t>
      </w:r>
      <w:r w:rsidRPr="00851A52">
        <w:rPr>
          <w:rFonts w:ascii="Times New Roman" w:hAnsi="Times New Roman" w:cs="Times New Roman"/>
          <w:sz w:val="28"/>
          <w:szCs w:val="28"/>
        </w:rPr>
        <w:t xml:space="preserve"> stesso come tensione verso il suo Altro. La particolare sostanzialità spirituale dell’uomo si concepisce e definisce in rapporto all’assoluto, all’Altro che è spirito, a quell’alterità singolarissima che può far capire cosa sia l’alterità.</w:t>
      </w:r>
      <w:r w:rsidRPr="00851A52">
        <w:rPr>
          <w:rStyle w:val="Rimandonotaapidipagina"/>
          <w:rFonts w:ascii="Times New Roman" w:hAnsi="Times New Roman" w:cs="Times New Roman"/>
          <w:sz w:val="28"/>
          <w:szCs w:val="28"/>
        </w:rPr>
        <w:footnoteReference w:id="17"/>
      </w:r>
    </w:p>
    <w:p w:rsidR="00D75B76" w:rsidRPr="00851A52" w:rsidRDefault="00D75B76" w:rsidP="00D75B76">
      <w:pPr>
        <w:spacing w:line="240" w:lineRule="auto"/>
        <w:jc w:val="both"/>
        <w:rPr>
          <w:rFonts w:ascii="Times New Roman" w:hAnsi="Times New Roman" w:cs="Times New Roman"/>
          <w:b/>
          <w:sz w:val="28"/>
          <w:szCs w:val="28"/>
        </w:rPr>
      </w:pPr>
      <w:r w:rsidRPr="00851A52">
        <w:rPr>
          <w:rFonts w:ascii="Times New Roman" w:hAnsi="Times New Roman" w:cs="Times New Roman"/>
          <w:b/>
          <w:sz w:val="28"/>
          <w:szCs w:val="28"/>
        </w:rPr>
        <w:t xml:space="preserve">Essere </w:t>
      </w:r>
      <w:r w:rsidRPr="00851A52">
        <w:rPr>
          <w:rFonts w:ascii="Times New Roman" w:hAnsi="Times New Roman" w:cs="Times New Roman"/>
          <w:b/>
          <w:i/>
          <w:sz w:val="28"/>
          <w:szCs w:val="28"/>
        </w:rPr>
        <w:t>in altro</w:t>
      </w:r>
      <w:r w:rsidRPr="00851A52">
        <w:rPr>
          <w:rFonts w:ascii="Times New Roman" w:hAnsi="Times New Roman" w:cs="Times New Roman"/>
          <w:b/>
          <w:sz w:val="28"/>
          <w:szCs w:val="28"/>
        </w:rPr>
        <w:t xml:space="preserve"> e </w:t>
      </w:r>
      <w:r w:rsidRPr="00851A52">
        <w:rPr>
          <w:rFonts w:ascii="Times New Roman" w:hAnsi="Times New Roman" w:cs="Times New Roman"/>
          <w:b/>
          <w:i/>
          <w:sz w:val="28"/>
          <w:szCs w:val="28"/>
        </w:rPr>
        <w:t>per altro</w:t>
      </w:r>
      <w:r w:rsidRPr="00851A52">
        <w:rPr>
          <w:rFonts w:ascii="Times New Roman" w:hAnsi="Times New Roman" w:cs="Times New Roman"/>
          <w:b/>
          <w:sz w:val="28"/>
          <w:szCs w:val="28"/>
        </w:rPr>
        <w:t xml:space="preserve">, </w:t>
      </w:r>
      <w:r w:rsidRPr="00851A52">
        <w:rPr>
          <w:rFonts w:ascii="Times New Roman" w:hAnsi="Times New Roman" w:cs="Times New Roman"/>
          <w:b/>
          <w:i/>
          <w:sz w:val="28"/>
          <w:szCs w:val="28"/>
        </w:rPr>
        <w:t>oltre</w:t>
      </w:r>
      <w:r w:rsidRPr="00851A52">
        <w:rPr>
          <w:rFonts w:ascii="Times New Roman" w:hAnsi="Times New Roman" w:cs="Times New Roman"/>
          <w:b/>
          <w:sz w:val="28"/>
          <w:szCs w:val="28"/>
        </w:rPr>
        <w:t xml:space="preserve"> di sé </w:t>
      </w:r>
      <w:r w:rsidRPr="00851A52">
        <w:rPr>
          <w:rFonts w:ascii="Times New Roman" w:hAnsi="Times New Roman" w:cs="Times New Roman"/>
          <w:sz w:val="28"/>
          <w:szCs w:val="28"/>
        </w:rPr>
        <w:t>-persona come vissuto ‘frammento di Dio’ -donazione di senso</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Per mostrare meglio tale intrinseca e costitutiva tensione all’Altro riprendo la categoria di persona secondo le indicazioni e le suggestioni offerte da </w:t>
      </w:r>
      <w:r w:rsidRPr="00851A52">
        <w:rPr>
          <w:rFonts w:ascii="Times New Roman" w:hAnsi="Times New Roman" w:cs="Times New Roman"/>
          <w:b/>
          <w:sz w:val="28"/>
          <w:szCs w:val="28"/>
        </w:rPr>
        <w:t>Virgilio Melchiorre</w:t>
      </w:r>
      <w:r w:rsidRPr="00851A52">
        <w:rPr>
          <w:rFonts w:ascii="Times New Roman" w:hAnsi="Times New Roman" w:cs="Times New Roman"/>
          <w:sz w:val="28"/>
          <w:szCs w:val="28"/>
        </w:rPr>
        <w:t>. Nella sua prospettiva, la persona non viene detta secondo l’ontologia della sostanza, bensì secondo un’ontologia della relazione per la quale è decisiva la definizione di Boezio con la variante di Riccardo da san Vittore.</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Tale posizione potrebbe apparire opposta a quella di Peri, presentata sopra, ma a mio avviso, le due riflessioni vanno sulla stessa direzione nella misura in cui </w:t>
      </w:r>
      <w:r w:rsidRPr="00851A52">
        <w:rPr>
          <w:rFonts w:ascii="Times New Roman" w:hAnsi="Times New Roman" w:cs="Times New Roman"/>
          <w:sz w:val="28"/>
          <w:szCs w:val="28"/>
          <w:u w:val="single"/>
        </w:rPr>
        <w:t>rivisitano il concetto di sostanza leggendolo nel suo ancorament</w:t>
      </w:r>
      <w:r w:rsidR="009263D6" w:rsidRPr="00851A52">
        <w:rPr>
          <w:rFonts w:ascii="Times New Roman" w:hAnsi="Times New Roman" w:cs="Times New Roman"/>
          <w:sz w:val="28"/>
          <w:szCs w:val="28"/>
          <w:u w:val="single"/>
        </w:rPr>
        <w:t>o all’Origine e all’essere in sé</w:t>
      </w:r>
      <w:r w:rsidRPr="00851A52">
        <w:rPr>
          <w:rFonts w:ascii="Times New Roman" w:hAnsi="Times New Roman" w:cs="Times New Roman"/>
          <w:sz w:val="28"/>
          <w:szCs w:val="28"/>
          <w:u w:val="single"/>
        </w:rPr>
        <w:t xml:space="preserve"> stesso relazionale</w:t>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Melchiorre critica la definizione sostanzialistica della persona in quanto la ritiene «insufficiente finché non si lascia ricomprendere nella definizione dell’Origine».</w:t>
      </w:r>
      <w:r w:rsidRPr="00851A52">
        <w:rPr>
          <w:rStyle w:val="Rimandonotaapidipagina"/>
          <w:rFonts w:ascii="Times New Roman" w:hAnsi="Times New Roman" w:cs="Times New Roman"/>
          <w:sz w:val="28"/>
          <w:szCs w:val="28"/>
        </w:rPr>
        <w:footnoteReference w:id="18"/>
      </w:r>
      <w:r w:rsidRPr="00851A52">
        <w:rPr>
          <w:rFonts w:ascii="Times New Roman" w:hAnsi="Times New Roman" w:cs="Times New Roman"/>
          <w:sz w:val="28"/>
          <w:szCs w:val="28"/>
        </w:rPr>
        <w:t xml:space="preserve"> Per tale ricomprensione viene in aiuto il concetto di </w:t>
      </w:r>
      <w:proofErr w:type="spellStart"/>
      <w:r w:rsidRPr="00851A52">
        <w:rPr>
          <w:rFonts w:ascii="Times New Roman" w:hAnsi="Times New Roman" w:cs="Times New Roman"/>
          <w:i/>
          <w:sz w:val="28"/>
          <w:szCs w:val="28"/>
        </w:rPr>
        <w:t>exsistentia</w:t>
      </w:r>
      <w:proofErr w:type="spellEnd"/>
      <w:r w:rsidRPr="00851A52">
        <w:rPr>
          <w:rFonts w:ascii="Times New Roman" w:hAnsi="Times New Roman" w:cs="Times New Roman"/>
          <w:sz w:val="28"/>
          <w:szCs w:val="28"/>
        </w:rPr>
        <w:t xml:space="preserve"> apportato Riccardo da san Vittore come correzione alla definizione sostanzialista di Boezio. In tale concetto Melchiorre sottolinea l’elemento della relazione, espresso nell’</w:t>
      </w:r>
      <w:r w:rsidRPr="00851A52">
        <w:rPr>
          <w:rFonts w:ascii="Times New Roman" w:hAnsi="Times New Roman" w:cs="Times New Roman"/>
          <w:i/>
          <w:sz w:val="28"/>
          <w:szCs w:val="28"/>
        </w:rPr>
        <w:t>ex-</w:t>
      </w:r>
      <w:proofErr w:type="spellStart"/>
      <w:r w:rsidRPr="00851A52">
        <w:rPr>
          <w:rFonts w:ascii="Times New Roman" w:hAnsi="Times New Roman" w:cs="Times New Roman"/>
          <w:i/>
          <w:sz w:val="28"/>
          <w:szCs w:val="28"/>
        </w:rPr>
        <w:t>sistere</w:t>
      </w:r>
      <w:proofErr w:type="spellEnd"/>
      <w:r w:rsidRPr="00851A52">
        <w:rPr>
          <w:rFonts w:ascii="Times New Roman" w:hAnsi="Times New Roman" w:cs="Times New Roman"/>
          <w:sz w:val="28"/>
          <w:szCs w:val="28"/>
        </w:rPr>
        <w:t xml:space="preserve">, che invece non apporterebbe quello di </w:t>
      </w:r>
      <w:proofErr w:type="spellStart"/>
      <w:r w:rsidRPr="00851A52">
        <w:rPr>
          <w:rFonts w:ascii="Times New Roman" w:hAnsi="Times New Roman" w:cs="Times New Roman"/>
          <w:i/>
          <w:sz w:val="28"/>
          <w:szCs w:val="28"/>
        </w:rPr>
        <w:t>substantia</w:t>
      </w:r>
      <w:proofErr w:type="spellEnd"/>
      <w:r w:rsidRPr="00851A52">
        <w:rPr>
          <w:rFonts w:ascii="Times New Roman" w:hAnsi="Times New Roman" w:cs="Times New Roman"/>
          <w:sz w:val="28"/>
          <w:szCs w:val="28"/>
        </w:rPr>
        <w:t xml:space="preserve"> legato all’</w:t>
      </w:r>
      <w:proofErr w:type="spellStart"/>
      <w:r w:rsidRPr="00851A52">
        <w:rPr>
          <w:rFonts w:ascii="Times New Roman" w:hAnsi="Times New Roman" w:cs="Times New Roman"/>
          <w:sz w:val="28"/>
          <w:szCs w:val="28"/>
        </w:rPr>
        <w:t>irrelazione</w:t>
      </w:r>
      <w:proofErr w:type="spellEnd"/>
      <w:r w:rsidRPr="00851A52">
        <w:rPr>
          <w:rFonts w:ascii="Times New Roman" w:hAnsi="Times New Roman" w:cs="Times New Roman"/>
          <w:sz w:val="28"/>
          <w:szCs w:val="28"/>
        </w:rPr>
        <w:t xml:space="preserve"> dell’essenza. La questione è certamente complessa e il suggerimento di cogliere l’</w:t>
      </w:r>
      <w:r w:rsidRPr="00851A52">
        <w:rPr>
          <w:rFonts w:ascii="Times New Roman" w:hAnsi="Times New Roman" w:cs="Times New Roman"/>
          <w:i/>
          <w:sz w:val="28"/>
          <w:szCs w:val="28"/>
        </w:rPr>
        <w:t>ex-</w:t>
      </w:r>
      <w:proofErr w:type="spellStart"/>
      <w:r w:rsidRPr="00851A52">
        <w:rPr>
          <w:rFonts w:ascii="Times New Roman" w:hAnsi="Times New Roman" w:cs="Times New Roman"/>
          <w:i/>
          <w:sz w:val="28"/>
          <w:szCs w:val="28"/>
        </w:rPr>
        <w:t>sistere</w:t>
      </w:r>
      <w:proofErr w:type="spellEnd"/>
      <w:r w:rsidRPr="00851A52">
        <w:rPr>
          <w:rFonts w:ascii="Times New Roman" w:hAnsi="Times New Roman" w:cs="Times New Roman"/>
          <w:sz w:val="28"/>
          <w:szCs w:val="28"/>
        </w:rPr>
        <w:t xml:space="preserve"> come definizione della persona, di fatto ne evidenzia la relazionalità trascendentale che la lega ontologicamente all’Assoluto come il «consistere che in sé manifesta la propria origine». In questa prospettiva si può pensare la persona come «maschera di una profondità che la supera» come una «risonanza del divino»</w:t>
      </w:r>
      <w:r w:rsidRPr="00851A52">
        <w:rPr>
          <w:rStyle w:val="Rimandonotaapidipagina"/>
          <w:rFonts w:ascii="Times New Roman" w:hAnsi="Times New Roman" w:cs="Times New Roman"/>
          <w:sz w:val="28"/>
          <w:szCs w:val="28"/>
        </w:rPr>
        <w:footnoteReference w:id="19"/>
      </w:r>
      <w:r w:rsidRPr="00851A52">
        <w:rPr>
          <w:rFonts w:ascii="Times New Roman" w:hAnsi="Times New Roman" w:cs="Times New Roman"/>
          <w:sz w:val="28"/>
          <w:szCs w:val="28"/>
        </w:rPr>
        <w:t xml:space="preserve"> che supererebbe la definizione sostanzialistica facendo emergere sia l’aspetto relazionale sia quello ontologico. </w:t>
      </w:r>
    </w:p>
    <w:p w:rsidR="009263D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Esplicitiamo questo passaggio avvalendoci delle stesse considerazioni di Melchiorre. </w:t>
      </w:r>
    </w:p>
    <w:p w:rsidR="009263D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Partiamo dalla valenza del concetto ‘persona’ sia nel senso originario che risuona nella parola che in </w:t>
      </w:r>
      <w:r w:rsidRPr="00851A52">
        <w:rPr>
          <w:rFonts w:ascii="Times New Roman" w:hAnsi="Times New Roman" w:cs="Times New Roman"/>
          <w:sz w:val="28"/>
          <w:szCs w:val="28"/>
          <w:u w:val="single"/>
        </w:rPr>
        <w:t>greco</w:t>
      </w:r>
      <w:r w:rsidRPr="00851A52">
        <w:rPr>
          <w:rFonts w:ascii="Times New Roman" w:hAnsi="Times New Roman" w:cs="Times New Roman"/>
          <w:sz w:val="28"/>
          <w:szCs w:val="28"/>
        </w:rPr>
        <w:t xml:space="preserve"> significa persona, ovvero il davanti a sé del volto, sguardo che si volge in avanti, </w:t>
      </w:r>
      <w:r w:rsidRPr="00851A52">
        <w:rPr>
          <w:rFonts w:ascii="Times New Roman" w:hAnsi="Times New Roman" w:cs="Times New Roman"/>
          <w:i/>
          <w:sz w:val="28"/>
          <w:szCs w:val="28"/>
        </w:rPr>
        <w:t>prospettiva</w:t>
      </w:r>
      <w:r w:rsidRPr="00851A52">
        <w:rPr>
          <w:rFonts w:ascii="Times New Roman" w:hAnsi="Times New Roman" w:cs="Times New Roman"/>
          <w:sz w:val="28"/>
          <w:szCs w:val="28"/>
        </w:rPr>
        <w:t xml:space="preserve">; sia nel suo equivalente latino di maschera. Nel primo </w:t>
      </w:r>
      <w:r w:rsidRPr="00851A52">
        <w:rPr>
          <w:rFonts w:ascii="Times New Roman" w:hAnsi="Times New Roman" w:cs="Times New Roman"/>
          <w:sz w:val="28"/>
          <w:szCs w:val="28"/>
        </w:rPr>
        <w:lastRenderedPageBreak/>
        <w:t xml:space="preserve">significato la persona si dà come «un esserci che per </w:t>
      </w:r>
      <w:proofErr w:type="gramStart"/>
      <w:r w:rsidRPr="00851A52">
        <w:rPr>
          <w:rFonts w:ascii="Times New Roman" w:hAnsi="Times New Roman" w:cs="Times New Roman"/>
          <w:sz w:val="28"/>
          <w:szCs w:val="28"/>
        </w:rPr>
        <w:t>se</w:t>
      </w:r>
      <w:proofErr w:type="gramEnd"/>
      <w:r w:rsidRPr="00851A52">
        <w:rPr>
          <w:rFonts w:ascii="Times New Roman" w:hAnsi="Times New Roman" w:cs="Times New Roman"/>
          <w:sz w:val="28"/>
          <w:szCs w:val="28"/>
        </w:rPr>
        <w:t xml:space="preserve"> stesso è sempre in trascendenza, sempre in altro e per altro, oltre di sé. Ma insieme anche sguardo che è delimitato appunto dalla sua collocazione, dal punto zero della sua vista, dalla sua origine in un determinato tempo e in un determinato spazio».</w:t>
      </w:r>
      <w:r w:rsidRPr="00851A52">
        <w:rPr>
          <w:rStyle w:val="Rimandonotaapidipagina"/>
          <w:rFonts w:ascii="Times New Roman" w:hAnsi="Times New Roman" w:cs="Times New Roman"/>
          <w:sz w:val="28"/>
          <w:szCs w:val="28"/>
        </w:rPr>
        <w:footnoteReference w:id="20"/>
      </w:r>
      <w:r w:rsidRPr="00851A52">
        <w:rPr>
          <w:rFonts w:ascii="Times New Roman" w:hAnsi="Times New Roman" w:cs="Times New Roman"/>
          <w:sz w:val="28"/>
          <w:szCs w:val="28"/>
        </w:rPr>
        <w:t xml:space="preserve"> </w:t>
      </w:r>
    </w:p>
    <w:p w:rsidR="009263D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Nella sua accezione </w:t>
      </w:r>
      <w:r w:rsidRPr="00851A52">
        <w:rPr>
          <w:rFonts w:ascii="Times New Roman" w:hAnsi="Times New Roman" w:cs="Times New Roman"/>
          <w:sz w:val="28"/>
          <w:szCs w:val="28"/>
          <w:u w:val="single"/>
        </w:rPr>
        <w:t>latina</w:t>
      </w:r>
      <w:r w:rsidRPr="00851A52">
        <w:rPr>
          <w:rFonts w:ascii="Times New Roman" w:hAnsi="Times New Roman" w:cs="Times New Roman"/>
          <w:sz w:val="28"/>
          <w:szCs w:val="28"/>
        </w:rPr>
        <w:t xml:space="preserve"> rimanda alla «maschera dell’attore in cui si configurava volta per volta un ruolo nella scena e in cui risuonava la voce del personaggio, infine anche la parola di un dio. Su questa base e con una chiara elevazione metaforica, la parola era poi passata nella tradizione stoica per indicare la vocazione più propria dell’umano: l’uomo che dall’intimo deve sentirsi chiamato a recitare un ruolo sacrale, non come fine in sé – diceva Epitteto – ma come un vissuto ‘frammento di Dio’. Chi non vive nella sapienza di questo destino ‘ignora il dio che è in lui, quest’uomo non sa con quale compagno fa il suo </w:t>
      </w:r>
      <w:proofErr w:type="spellStart"/>
      <w:r w:rsidRPr="00851A52">
        <w:rPr>
          <w:rFonts w:ascii="Times New Roman" w:hAnsi="Times New Roman" w:cs="Times New Roman"/>
          <w:sz w:val="28"/>
          <w:szCs w:val="28"/>
        </w:rPr>
        <w:t>cammino’</w:t>
      </w:r>
      <w:proofErr w:type="spellEnd"/>
      <w:r w:rsidRPr="00851A52">
        <w:rPr>
          <w:rFonts w:ascii="Times New Roman" w:hAnsi="Times New Roman" w:cs="Times New Roman"/>
          <w:sz w:val="28"/>
          <w:szCs w:val="28"/>
        </w:rPr>
        <w:t>».</w:t>
      </w:r>
      <w:r w:rsidRPr="00851A52">
        <w:rPr>
          <w:rStyle w:val="Rimandonotaapidipagina"/>
          <w:rFonts w:ascii="Times New Roman" w:hAnsi="Times New Roman" w:cs="Times New Roman"/>
          <w:sz w:val="28"/>
          <w:szCs w:val="28"/>
        </w:rPr>
        <w:footnoteReference w:id="21"/>
      </w:r>
      <w:r w:rsidRPr="00851A52">
        <w:rPr>
          <w:rFonts w:ascii="Times New Roman" w:hAnsi="Times New Roman" w:cs="Times New Roman"/>
          <w:sz w:val="28"/>
          <w:szCs w:val="28"/>
        </w:rPr>
        <w:t xml:space="preserve"> «L’uomo come persona e la persona come maschera in cui riluce e si cela la luce dell’essere: fessura in cui trapassa o può trapassare la donazione di un senso».</w:t>
      </w:r>
      <w:r w:rsidRPr="00851A52">
        <w:rPr>
          <w:rStyle w:val="Rimandonotaapidipagina"/>
          <w:rFonts w:ascii="Times New Roman" w:hAnsi="Times New Roman" w:cs="Times New Roman"/>
          <w:sz w:val="28"/>
          <w:szCs w:val="28"/>
        </w:rPr>
        <w:footnoteReference w:id="22"/>
      </w:r>
      <w:r w:rsidRPr="00851A52">
        <w:rPr>
          <w:rFonts w:ascii="Times New Roman" w:hAnsi="Times New Roman" w:cs="Times New Roman"/>
          <w:sz w:val="28"/>
          <w:szCs w:val="28"/>
        </w:rPr>
        <w:t xml:space="preserve"> </w:t>
      </w:r>
    </w:p>
    <w:p w:rsidR="009263D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La simbolicità della maschera, della persona come maschera, traccia il segno della strutturale </w:t>
      </w:r>
      <w:r w:rsidRPr="00851A52">
        <w:rPr>
          <w:rFonts w:ascii="Times New Roman" w:hAnsi="Times New Roman" w:cs="Times New Roman"/>
          <w:sz w:val="28"/>
          <w:szCs w:val="28"/>
          <w:u w:val="single"/>
        </w:rPr>
        <w:t>ambiguità dell’apparire e insieme del celarsi dell’essere</w:t>
      </w:r>
      <w:r w:rsidRPr="00851A52">
        <w:rPr>
          <w:rFonts w:ascii="Times New Roman" w:hAnsi="Times New Roman" w:cs="Times New Roman"/>
          <w:sz w:val="28"/>
          <w:szCs w:val="28"/>
        </w:rPr>
        <w:t xml:space="preserve">. Rimanendo in questa simbolicità, da un punto di vista fenomenologico nella maschera «l’attore impara a trasgredire </w:t>
      </w:r>
      <w:proofErr w:type="gramStart"/>
      <w:r w:rsidRPr="00851A52">
        <w:rPr>
          <w:rFonts w:ascii="Times New Roman" w:hAnsi="Times New Roman" w:cs="Times New Roman"/>
          <w:sz w:val="28"/>
          <w:szCs w:val="28"/>
        </w:rPr>
        <w:t>se</w:t>
      </w:r>
      <w:proofErr w:type="gramEnd"/>
      <w:r w:rsidRPr="00851A52">
        <w:rPr>
          <w:rFonts w:ascii="Times New Roman" w:hAnsi="Times New Roman" w:cs="Times New Roman"/>
          <w:sz w:val="28"/>
          <w:szCs w:val="28"/>
        </w:rPr>
        <w:t xml:space="preserve"> stesso, a sentirsi non in sé ma </w:t>
      </w:r>
      <w:r w:rsidRPr="00851A52">
        <w:rPr>
          <w:rFonts w:ascii="Times New Roman" w:hAnsi="Times New Roman" w:cs="Times New Roman"/>
          <w:i/>
          <w:sz w:val="28"/>
          <w:szCs w:val="28"/>
        </w:rPr>
        <w:t>in altro</w:t>
      </w:r>
      <w:r w:rsidRPr="00851A52">
        <w:rPr>
          <w:rFonts w:ascii="Times New Roman" w:hAnsi="Times New Roman" w:cs="Times New Roman"/>
          <w:sz w:val="28"/>
          <w:szCs w:val="28"/>
        </w:rPr>
        <w:t xml:space="preserve"> e </w:t>
      </w:r>
      <w:r w:rsidRPr="00851A52">
        <w:rPr>
          <w:rFonts w:ascii="Times New Roman" w:hAnsi="Times New Roman" w:cs="Times New Roman"/>
          <w:i/>
          <w:sz w:val="28"/>
          <w:szCs w:val="28"/>
        </w:rPr>
        <w:t>per altro</w:t>
      </w:r>
      <w:r w:rsidRPr="00851A52">
        <w:rPr>
          <w:rFonts w:ascii="Times New Roman" w:hAnsi="Times New Roman" w:cs="Times New Roman"/>
          <w:sz w:val="28"/>
          <w:szCs w:val="28"/>
        </w:rPr>
        <w:t>. Questa trasgressione, alle sue altezze, non è una perdita: ritrovarsi come ‘frammento di Dio’ è infine ritrovare la radice e il senso della propria identità».</w:t>
      </w:r>
      <w:r w:rsidRPr="00851A52">
        <w:rPr>
          <w:rStyle w:val="Rimandonotaapidipagina"/>
          <w:rFonts w:ascii="Times New Roman" w:hAnsi="Times New Roman" w:cs="Times New Roman"/>
          <w:sz w:val="28"/>
          <w:szCs w:val="28"/>
        </w:rPr>
        <w:footnoteReference w:id="23"/>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Questa apertura a Dio, tuttavia, è problematica se accogliamo quanto ancora suggerisce Epitteto riguardo all’evidente differenza in cui si trovano gli uomini rispetto a ciò con cui hanno più consuetudine: il logos. È come se gli uomini seguissero un proprio logos, lasciandosi ingannare nella conoscenza delle cose visibili. Questa ‘perversione’ dal logos universale non sarebbe tuttavia possibile se non si ammettesse una condizione ontologica previa.</w:t>
      </w:r>
      <w:r w:rsidRPr="00851A52">
        <w:rPr>
          <w:rStyle w:val="Rimandonotaapidipagina"/>
          <w:rFonts w:ascii="Times New Roman" w:hAnsi="Times New Roman" w:cs="Times New Roman"/>
          <w:sz w:val="28"/>
          <w:szCs w:val="28"/>
        </w:rPr>
        <w:footnoteReference w:id="24"/>
      </w:r>
      <w:r w:rsidRPr="00851A52">
        <w:rPr>
          <w:rFonts w:ascii="Times New Roman" w:hAnsi="Times New Roman" w:cs="Times New Roman"/>
          <w:sz w:val="28"/>
          <w:szCs w:val="28"/>
        </w:rPr>
        <w:t xml:space="preserve"> Secondo questa pista possiamo dire che l’essere dell’uomo si manifesta nel modo di un incessante trascendimento, di un continuo divenire, «una continua esposizione dal non-essere all’essere e dall’essere al non essere: un non essere che però l’esserci dell’uomo supera e ricomprende nelle </w:t>
      </w:r>
      <w:proofErr w:type="spellStart"/>
      <w:r w:rsidRPr="00851A52">
        <w:rPr>
          <w:rFonts w:ascii="Times New Roman" w:hAnsi="Times New Roman" w:cs="Times New Roman"/>
          <w:sz w:val="28"/>
          <w:szCs w:val="28"/>
        </w:rPr>
        <w:t>ulteriorità</w:t>
      </w:r>
      <w:proofErr w:type="spellEnd"/>
      <w:r w:rsidRPr="00851A52">
        <w:rPr>
          <w:rFonts w:ascii="Times New Roman" w:hAnsi="Times New Roman" w:cs="Times New Roman"/>
          <w:sz w:val="28"/>
          <w:szCs w:val="28"/>
        </w:rPr>
        <w:t xml:space="preserve"> del proprio sé. Diviene, infatti, solo ciò che permane, ma il permanere non è mai un’identità uguale a se stessa, è bensì un’identità che a sé ritorna mutata dalle proprie consunzioni, rinnovata dalle occorrenze di nuovi spazi e nuovi tempi».</w:t>
      </w:r>
      <w:r w:rsidRPr="00851A52">
        <w:rPr>
          <w:rStyle w:val="Rimandonotaapidipagina"/>
          <w:rFonts w:ascii="Times New Roman" w:hAnsi="Times New Roman" w:cs="Times New Roman"/>
          <w:sz w:val="28"/>
          <w:szCs w:val="28"/>
        </w:rPr>
        <w:footnoteReference w:id="25"/>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Proprio per dare riconoscimento alla relazionalità, all’aspetto etico e a quello ontologico, Peri sostiene la necessità di dire l’uomo come altro, ontologicamente altro. Il dover-essere è, infatti, una relazione ineliminabile, originaria, costitutiva, perché l’essere che l’uomo riceve è una relazione che lo costituisce, una relazione d’alterità </w:t>
      </w:r>
      <w:r w:rsidRPr="00851A52">
        <w:rPr>
          <w:rFonts w:ascii="Times New Roman" w:hAnsi="Times New Roman" w:cs="Times New Roman"/>
          <w:sz w:val="28"/>
          <w:szCs w:val="28"/>
        </w:rPr>
        <w:lastRenderedPageBreak/>
        <w:t>da cui non può distinguersi. L’obbligazione etica pertanto proviene dalla relazione con l’altro dentro di me, dal mio essere responsoriale, chiamato a rispondere di me. La stessa responsabilità dell’uomo non può che essere assunta come ontologia perché il debito del suo essere, non è il debito di un essere qualsiasi, ma un debito di essere-altro.</w:t>
      </w:r>
      <w:r w:rsidRPr="00851A52">
        <w:rPr>
          <w:rStyle w:val="Rimandonotaapidipagina"/>
          <w:rFonts w:ascii="Times New Roman" w:hAnsi="Times New Roman" w:cs="Times New Roman"/>
          <w:sz w:val="28"/>
          <w:szCs w:val="28"/>
        </w:rPr>
        <w:footnoteReference w:id="26"/>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b/>
          <w:sz w:val="28"/>
          <w:szCs w:val="28"/>
        </w:rPr>
      </w:pPr>
      <w:r w:rsidRPr="00851A52">
        <w:rPr>
          <w:rFonts w:ascii="Times New Roman" w:hAnsi="Times New Roman" w:cs="Times New Roman"/>
          <w:b/>
          <w:sz w:val="28"/>
          <w:szCs w:val="28"/>
        </w:rPr>
        <w:t>Per un’apertura altra</w:t>
      </w:r>
    </w:p>
    <w:p w:rsidR="00851A52"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In questo ultimo passaggio prendo spunto dalla riflessione di </w:t>
      </w:r>
      <w:r w:rsidRPr="00851A52">
        <w:rPr>
          <w:rFonts w:ascii="Times New Roman" w:hAnsi="Times New Roman" w:cs="Times New Roman"/>
          <w:b/>
          <w:sz w:val="28"/>
          <w:szCs w:val="28"/>
        </w:rPr>
        <w:t>Simone Weil</w:t>
      </w:r>
      <w:r w:rsidRPr="00851A52">
        <w:rPr>
          <w:rFonts w:ascii="Times New Roman" w:hAnsi="Times New Roman" w:cs="Times New Roman"/>
          <w:sz w:val="28"/>
          <w:szCs w:val="28"/>
        </w:rPr>
        <w:t xml:space="preserve"> che volge l’attenzione a ciò che è specifico dell’essere dell’uomo: la sua sacralità. «Dalla prima infanzia fino alla tomba qualcosa in fondo al cuore di ogni essere umano, nonostante tutta l’esperienza dei crimini compiuti, sofferti e osservati, si aspetta invincibilmente che gli venga fatto del bene e non del male. È questo, anzitutto, che è sacro in ogni essere umano».</w:t>
      </w:r>
      <w:r w:rsidRPr="00851A52">
        <w:rPr>
          <w:rStyle w:val="Rimandonotaapidipagina"/>
          <w:rFonts w:ascii="Times New Roman" w:hAnsi="Times New Roman" w:cs="Times New Roman"/>
          <w:sz w:val="28"/>
          <w:szCs w:val="28"/>
        </w:rPr>
        <w:footnoteReference w:id="27"/>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La consapevolezza che è l’individuo concreto, e non un membro neutro della collettività, ad essere destinatario del bene significa indicare lo spessore, la qualità e unicità del suo essere. Significa volgersi nella direzione che allo stesso tempo è etica e ontologica. È la stessa modalità del rapporto con l’altro a rivelarne l’unicità.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Dinanzi all’altro concreto, dinanzi al volto dell’altro che mi inquieta, per dirla con </w:t>
      </w:r>
      <w:proofErr w:type="spellStart"/>
      <w:r w:rsidRPr="00851A52">
        <w:rPr>
          <w:rFonts w:ascii="Times New Roman" w:hAnsi="Times New Roman" w:cs="Times New Roman"/>
          <w:sz w:val="28"/>
          <w:szCs w:val="28"/>
        </w:rPr>
        <w:t>Levinas</w:t>
      </w:r>
      <w:proofErr w:type="spellEnd"/>
      <w:r w:rsidRPr="00851A52">
        <w:rPr>
          <w:rFonts w:ascii="Times New Roman" w:hAnsi="Times New Roman" w:cs="Times New Roman"/>
          <w:sz w:val="28"/>
          <w:szCs w:val="28"/>
        </w:rPr>
        <w:t>, si opera con una logica diversa che non segue i criteri del diritto, o del dovere verso l’altro, ma secondo la logica della più profonda giustizia: l’altro va amato perché egli stesso è questo diritto, egli stesso è sacro. Ed è proprio l’amore, o per dirla con Melchiorre, la ‘dialettica dell’eros’ che traccia la via per la ricerca del senso, per la donazione di senso. L’altro che ci viene incontro rivela a noi stessi un senso di cui prima non sapevamo disporre, ma che richiede il riconoscimento. Questo, in maniera autentica avviene solo se il rapporto interpersonale «ci fa essere gli uni per gli altri donazione di senso».</w:t>
      </w:r>
      <w:r w:rsidRPr="00851A52">
        <w:rPr>
          <w:rStyle w:val="Rimandonotaapidipagina"/>
          <w:rFonts w:ascii="Times New Roman" w:hAnsi="Times New Roman" w:cs="Times New Roman"/>
          <w:sz w:val="28"/>
          <w:szCs w:val="28"/>
        </w:rPr>
        <w:footnoteReference w:id="28"/>
      </w:r>
      <w:r w:rsidRPr="00851A52">
        <w:rPr>
          <w:rFonts w:ascii="Times New Roman" w:hAnsi="Times New Roman" w:cs="Times New Roman"/>
          <w:sz w:val="28"/>
          <w:szCs w:val="28"/>
        </w:rPr>
        <w:t xml:space="preserve"> In questo rapporto di riconoscimento, l’altro è amato a partire dalla sua singolarità, dal suo essere unico, e va custodito, difeso proprio nella sua realtà unica.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Sempre per sottolineare l’unicità dell’essere dell’individuo, un’unicità che parla di ‘altro’, Simone Weil rilegge un passaggio dell’</w:t>
      </w:r>
      <w:r w:rsidRPr="00851A52">
        <w:rPr>
          <w:rFonts w:ascii="Times New Roman" w:hAnsi="Times New Roman" w:cs="Times New Roman"/>
          <w:i/>
          <w:sz w:val="28"/>
          <w:szCs w:val="28"/>
        </w:rPr>
        <w:t>Antigone</w:t>
      </w:r>
      <w:r w:rsidRPr="00851A52">
        <w:rPr>
          <w:rFonts w:ascii="Times New Roman" w:hAnsi="Times New Roman" w:cs="Times New Roman"/>
          <w:sz w:val="28"/>
          <w:szCs w:val="28"/>
        </w:rPr>
        <w:t xml:space="preserve"> di Sofocle,</w:t>
      </w:r>
      <w:r w:rsidRPr="00851A52">
        <w:rPr>
          <w:rStyle w:val="Rimandonotaapidipagina"/>
          <w:rFonts w:ascii="Times New Roman" w:hAnsi="Times New Roman" w:cs="Times New Roman"/>
          <w:sz w:val="28"/>
          <w:szCs w:val="28"/>
        </w:rPr>
        <w:footnoteReference w:id="29"/>
      </w:r>
      <w:r w:rsidRPr="00851A52">
        <w:rPr>
          <w:rFonts w:ascii="Times New Roman" w:hAnsi="Times New Roman" w:cs="Times New Roman"/>
          <w:sz w:val="28"/>
          <w:szCs w:val="28"/>
        </w:rPr>
        <w:t>:  «agli occhi di Creonte, in ciò che faceva Antigone non vi era alcunché di naturale. Egli la giudicava folle. […] Lui obietta con buon senso: “Ma non vi è sorte uguale per il prode e per il traditore”. Lei non trova che questa risposta assurda: “E chi sa se nell’altro mondo ciò è legittimo?”. L’affermazione di Creonte appare perfettamente ragionevole: “Ma un nemico, neppure da morto, è giammai un amico”. E la piccola sciocca ribatte: “Sono nata per condividere non l’odio, ma l’amore”».</w:t>
      </w:r>
      <w:r w:rsidRPr="00851A52">
        <w:rPr>
          <w:rStyle w:val="Rimandonotaapidipagina"/>
          <w:rFonts w:ascii="Times New Roman" w:hAnsi="Times New Roman" w:cs="Times New Roman"/>
          <w:sz w:val="28"/>
          <w:szCs w:val="28"/>
        </w:rPr>
        <w:footnoteReference w:id="30"/>
      </w:r>
      <w:r w:rsidRPr="00851A52">
        <w:rPr>
          <w:rFonts w:ascii="Times New Roman" w:hAnsi="Times New Roman" w:cs="Times New Roman"/>
          <w:sz w:val="28"/>
          <w:szCs w:val="28"/>
        </w:rPr>
        <w:t xml:space="preserve"> Antigone fa la scelta di ciò che non </w:t>
      </w:r>
      <w:r w:rsidRPr="00851A52">
        <w:rPr>
          <w:rFonts w:ascii="Times New Roman" w:hAnsi="Times New Roman" w:cs="Times New Roman"/>
          <w:sz w:val="28"/>
          <w:szCs w:val="28"/>
        </w:rPr>
        <w:lastRenderedPageBreak/>
        <w:t xml:space="preserve">appartiene a questo mondo, ma al mondo della divinità dove l’eccesso d’amore è la vera giustizia.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 xml:space="preserve">Sarebbe facile e legittima una lettura che evidenzia la preminenza e la scelta della logica dell’amore nella relazione con l’altro. Però si corre il rischio di porre nuovamente in gioco la ragione dei rapporti di forza: da una parte quelli dettati dal diritto, dall’altra quelli dell’amore.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La posta in gioco, invece, è più alta, più profonda. La scelta di Antigone non è sull’ordine dell’opposizione fra due fronti: da una parte il diritto degli uomini e dall’altra la pietà umana, né sul piano dei comportamenti morali, ma al contrario la decisione poggia sull’altro che lei “sente”. L’azione di Antigone è sull’ordine della qualifica di un rapporto, di una relazione d’alterità che ha davanti a sé un essere concreto.</w:t>
      </w:r>
      <w:r w:rsidRPr="00851A52">
        <w:rPr>
          <w:rStyle w:val="Rimandonotaapidipagina"/>
          <w:rFonts w:ascii="Times New Roman" w:hAnsi="Times New Roman" w:cs="Times New Roman"/>
          <w:sz w:val="28"/>
          <w:szCs w:val="28"/>
        </w:rPr>
        <w:footnoteReference w:id="31"/>
      </w:r>
      <w:r w:rsidRPr="00851A52">
        <w:rPr>
          <w:rFonts w:ascii="Times New Roman" w:hAnsi="Times New Roman" w:cs="Times New Roman"/>
          <w:sz w:val="28"/>
          <w:szCs w:val="28"/>
        </w:rPr>
        <w:t xml:space="preserve"> «La pietà è azione perché è sentire, sentire ‘l’altro’ come tale, senza schematizzarlo in un’astrazione».</w:t>
      </w:r>
      <w:r w:rsidRPr="00851A52">
        <w:rPr>
          <w:rStyle w:val="Rimandonotaapidipagina"/>
          <w:rFonts w:ascii="Times New Roman" w:hAnsi="Times New Roman" w:cs="Times New Roman"/>
          <w:sz w:val="28"/>
          <w:szCs w:val="28"/>
        </w:rPr>
        <w:footnoteReference w:id="32"/>
      </w:r>
      <w:r w:rsidRPr="00851A52">
        <w:rPr>
          <w:rFonts w:ascii="Times New Roman" w:hAnsi="Times New Roman" w:cs="Times New Roman"/>
          <w:sz w:val="28"/>
          <w:szCs w:val="28"/>
        </w:rPr>
        <w:t xml:space="preserve"> </w:t>
      </w:r>
    </w:p>
    <w:p w:rsidR="00D75B76" w:rsidRPr="00851A52" w:rsidRDefault="00D75B76" w:rsidP="00D75B76">
      <w:pPr>
        <w:spacing w:line="240" w:lineRule="auto"/>
        <w:jc w:val="both"/>
        <w:rPr>
          <w:rFonts w:ascii="Times New Roman" w:hAnsi="Times New Roman" w:cs="Times New Roman"/>
          <w:sz w:val="28"/>
          <w:szCs w:val="28"/>
        </w:rPr>
      </w:pPr>
      <w:r w:rsidRPr="00851A52">
        <w:rPr>
          <w:rFonts w:ascii="Times New Roman" w:hAnsi="Times New Roman" w:cs="Times New Roman"/>
          <w:sz w:val="28"/>
          <w:szCs w:val="28"/>
        </w:rPr>
        <w:t>E ancor più profondamente l’amore di Antigone apre la possibilità di qualcosa che solo l’amore può fare: dare vita. Viene offerto un altro ordine simbolico rispetto a quello che vede in lei un’antagonista o vittima “sciocca”: «Si rivela in Antigone la sua natura femminile nel momento in cui compie quella sua passione […] La vita che dà non a un essere umano determinato, ma alla coscienza di tutti gli uomini. […] Sgorga così la vita della coscienza, quello che si è talvolta chiamato spirito, la coscienza vivente».</w:t>
      </w:r>
      <w:r w:rsidRPr="00851A52">
        <w:rPr>
          <w:rStyle w:val="Rimandonotaapidipagina"/>
          <w:rFonts w:ascii="Times New Roman" w:hAnsi="Times New Roman" w:cs="Times New Roman"/>
          <w:sz w:val="28"/>
          <w:szCs w:val="28"/>
        </w:rPr>
        <w:footnoteReference w:id="33"/>
      </w:r>
      <w:r w:rsidRPr="00851A52">
        <w:rPr>
          <w:rFonts w:ascii="Times New Roman" w:hAnsi="Times New Roman" w:cs="Times New Roman"/>
          <w:sz w:val="28"/>
          <w:szCs w:val="28"/>
        </w:rPr>
        <w:t xml:space="preserve"> Il suo gesto manifesta l’appartenenza a un’altra identità, ella manifesta la possibilità di essere altro, rispetto alle leggi vigenti, eppure essere profondamente ed autenticamente se stessa. Antigone cerca di dare a suo fratello una sepoltura perché in questo modo lo rispetta in quanto uomo, nella sua unicità e singolarità.</w:t>
      </w:r>
      <w:r w:rsidRPr="00851A52">
        <w:rPr>
          <w:rStyle w:val="Rimandonotaapidipagina"/>
          <w:rFonts w:ascii="Times New Roman" w:hAnsi="Times New Roman" w:cs="Times New Roman"/>
          <w:sz w:val="28"/>
          <w:szCs w:val="28"/>
        </w:rPr>
        <w:footnoteReference w:id="34"/>
      </w:r>
      <w:r w:rsidRPr="00851A52">
        <w:rPr>
          <w:rFonts w:ascii="Times New Roman" w:hAnsi="Times New Roman" w:cs="Times New Roman"/>
          <w:sz w:val="28"/>
          <w:szCs w:val="28"/>
        </w:rPr>
        <w:t xml:space="preserve"> L’adesione a ciò che sente, l’altro che è da amare, permette ad Antigone di guadagnare se stessa e il senso del suo essere: di “donare l’altro”.</w:t>
      </w:r>
    </w:p>
    <w:p w:rsidR="00D75B76" w:rsidRPr="00851A52" w:rsidRDefault="00D75B76" w:rsidP="00D75B76">
      <w:pPr>
        <w:spacing w:line="240" w:lineRule="auto"/>
        <w:jc w:val="both"/>
        <w:rPr>
          <w:rFonts w:ascii="Times New Roman" w:hAnsi="Times New Roman" w:cs="Times New Roman"/>
          <w:sz w:val="28"/>
          <w:szCs w:val="28"/>
        </w:rPr>
      </w:pPr>
    </w:p>
    <w:p w:rsidR="00D75B76" w:rsidRPr="00851A52" w:rsidRDefault="00D75B76" w:rsidP="00D75B76">
      <w:pPr>
        <w:spacing w:line="240" w:lineRule="auto"/>
        <w:jc w:val="both"/>
        <w:rPr>
          <w:rFonts w:ascii="Times New Roman" w:hAnsi="Times New Roman" w:cs="Times New Roman"/>
          <w:sz w:val="28"/>
          <w:szCs w:val="28"/>
        </w:rPr>
      </w:pPr>
    </w:p>
    <w:p w:rsidR="00D75B76" w:rsidRPr="00851A52" w:rsidRDefault="00D75B76" w:rsidP="00D75B76">
      <w:pPr>
        <w:spacing w:line="240" w:lineRule="auto"/>
        <w:jc w:val="both"/>
        <w:rPr>
          <w:rFonts w:ascii="Times New Roman" w:hAnsi="Times New Roman" w:cs="Times New Roman"/>
          <w:sz w:val="28"/>
          <w:szCs w:val="28"/>
        </w:rPr>
      </w:pPr>
    </w:p>
    <w:p w:rsidR="0056232D" w:rsidRPr="00851A52" w:rsidRDefault="0056232D">
      <w:pPr>
        <w:rPr>
          <w:sz w:val="28"/>
          <w:szCs w:val="28"/>
        </w:rPr>
      </w:pPr>
    </w:p>
    <w:sectPr w:rsidR="0056232D" w:rsidRPr="00851A52">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3FC" w:rsidRDefault="005B23FC" w:rsidP="00D75B76">
      <w:pPr>
        <w:spacing w:after="0" w:line="240" w:lineRule="auto"/>
      </w:pPr>
      <w:r>
        <w:separator/>
      </w:r>
    </w:p>
  </w:endnote>
  <w:endnote w:type="continuationSeparator" w:id="0">
    <w:p w:rsidR="005B23FC" w:rsidRDefault="005B23FC" w:rsidP="00D75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3FC" w:rsidRDefault="005B23FC" w:rsidP="00D75B76">
      <w:pPr>
        <w:spacing w:after="0" w:line="240" w:lineRule="auto"/>
      </w:pPr>
      <w:r>
        <w:separator/>
      </w:r>
    </w:p>
  </w:footnote>
  <w:footnote w:type="continuationSeparator" w:id="0">
    <w:p w:rsidR="005B23FC" w:rsidRDefault="005B23FC" w:rsidP="00D75B76">
      <w:pPr>
        <w:spacing w:after="0" w:line="240" w:lineRule="auto"/>
      </w:pPr>
      <w:r>
        <w:continuationSeparator/>
      </w:r>
    </w:p>
  </w:footnote>
  <w:footnote w:id="1">
    <w:p w:rsidR="00D75B76" w:rsidRDefault="00D75B76" w:rsidP="00D75B76">
      <w:pPr>
        <w:pStyle w:val="Testonotaapidipagina"/>
        <w:jc w:val="both"/>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Mi riferisco a tutta la corrente fenomenologica che soprattutto nel secolo scorso ha fatto della corporeità la chiave di lettura dell’identità del</w:t>
      </w:r>
      <w:r>
        <w:rPr>
          <w:rFonts w:ascii="Times New Roman" w:hAnsi="Times New Roman" w:cs="Times New Roman"/>
        </w:rPr>
        <w:t>l</w:t>
      </w:r>
      <w:r>
        <w:rPr>
          <w:rFonts w:ascii="Times New Roman" w:hAnsi="Times New Roman" w:cs="Times New Roman"/>
        </w:rPr>
        <w:t xml:space="preserve">’uomo. </w:t>
      </w:r>
    </w:p>
  </w:footnote>
  <w:footnote w:id="2">
    <w:p w:rsidR="00D75B76" w:rsidRDefault="00D75B76" w:rsidP="00D75B76">
      <w:pPr>
        <w:pStyle w:val="Testonotaapidipagina"/>
        <w:rPr>
          <w:rFonts w:ascii="Times New Roman" w:hAnsi="Times New Roman" w:cs="Times New Roman"/>
        </w:rPr>
      </w:pPr>
      <w:r>
        <w:rPr>
          <w:rStyle w:val="Rimandonotaapidipagina"/>
        </w:rPr>
        <w:footnoteRef/>
      </w:r>
      <w:r>
        <w:t xml:space="preserve"> </w:t>
      </w:r>
      <w:r>
        <w:rPr>
          <w:rFonts w:ascii="Times New Roman" w:hAnsi="Times New Roman" w:cs="Times New Roman"/>
        </w:rPr>
        <w:t xml:space="preserve">Sull’argomento si veda G. Palumbo, </w:t>
      </w:r>
      <w:r>
        <w:rPr>
          <w:rFonts w:ascii="Times New Roman" w:hAnsi="Times New Roman" w:cs="Times New Roman"/>
          <w:i/>
        </w:rPr>
        <w:t xml:space="preserve">Inquietudine dell’altro. Crisi dell’ontologia e primato dell’etica in E. </w:t>
      </w:r>
      <w:proofErr w:type="spellStart"/>
      <w:r>
        <w:rPr>
          <w:rFonts w:ascii="Times New Roman" w:hAnsi="Times New Roman" w:cs="Times New Roman"/>
          <w:i/>
        </w:rPr>
        <w:t>Levinas</w:t>
      </w:r>
      <w:proofErr w:type="spellEnd"/>
      <w:r>
        <w:rPr>
          <w:rFonts w:ascii="Times New Roman" w:hAnsi="Times New Roman" w:cs="Times New Roman"/>
        </w:rPr>
        <w:t>, Edizioni della Fondazione Nazionale “Vito Fazio-</w:t>
      </w:r>
      <w:proofErr w:type="spellStart"/>
      <w:r>
        <w:rPr>
          <w:rFonts w:ascii="Times New Roman" w:hAnsi="Times New Roman" w:cs="Times New Roman"/>
        </w:rPr>
        <w:t>Allmayer</w:t>
      </w:r>
      <w:proofErr w:type="spellEnd"/>
      <w:proofErr w:type="gramStart"/>
      <w:r>
        <w:rPr>
          <w:rFonts w:ascii="Times New Roman" w:hAnsi="Times New Roman" w:cs="Times New Roman"/>
        </w:rPr>
        <w:t>”,  Palermo</w:t>
      </w:r>
      <w:proofErr w:type="gramEnd"/>
      <w:r>
        <w:rPr>
          <w:rFonts w:ascii="Times New Roman" w:hAnsi="Times New Roman" w:cs="Times New Roman"/>
        </w:rPr>
        <w:t xml:space="preserve"> 2001.</w:t>
      </w:r>
    </w:p>
  </w:footnote>
  <w:footnote w:id="3">
    <w:p w:rsidR="00D75B76" w:rsidRDefault="00D75B76" w:rsidP="00D75B76">
      <w:pPr>
        <w:autoSpaceDE w:val="0"/>
        <w:autoSpaceDN w:val="0"/>
        <w:adjustRightInd w:val="0"/>
        <w:spacing w:after="0" w:line="240" w:lineRule="auto"/>
        <w:jc w:val="both"/>
        <w:rPr>
          <w:rFonts w:ascii="Times New Roman" w:hAnsi="Times New Roman" w:cs="Times New Roman"/>
          <w:sz w:val="20"/>
          <w:szCs w:val="20"/>
        </w:rPr>
      </w:pPr>
      <w:r>
        <w:rPr>
          <w:rStyle w:val="Rimandonotaapidipagina"/>
          <w:sz w:val="20"/>
          <w:szCs w:val="20"/>
        </w:rPr>
        <w:footnoteRef/>
      </w:r>
      <w:r>
        <w:rPr>
          <w:sz w:val="20"/>
          <w:szCs w:val="20"/>
        </w:rPr>
        <w:t xml:space="preserve"> </w:t>
      </w:r>
      <w:r>
        <w:rPr>
          <w:rFonts w:ascii="Times New Roman" w:hAnsi="Times New Roman" w:cs="Times New Roman"/>
          <w:sz w:val="20"/>
          <w:szCs w:val="20"/>
        </w:rPr>
        <w:t xml:space="preserve">E. </w:t>
      </w:r>
      <w:proofErr w:type="spellStart"/>
      <w:r>
        <w:rPr>
          <w:rFonts w:ascii="Times New Roman" w:hAnsi="Times New Roman" w:cs="Times New Roman"/>
          <w:sz w:val="20"/>
          <w:szCs w:val="20"/>
        </w:rPr>
        <w:t>Levinas</w:t>
      </w:r>
      <w:proofErr w:type="spellEnd"/>
      <w:r>
        <w:rPr>
          <w:rFonts w:ascii="Times New Roman" w:hAnsi="Times New Roman" w:cs="Times New Roman"/>
          <w:sz w:val="20"/>
          <w:szCs w:val="20"/>
        </w:rPr>
        <w:t xml:space="preserve">, </w:t>
      </w:r>
      <w:r>
        <w:rPr>
          <w:rFonts w:ascii="Times New Roman" w:hAnsi="Times New Roman" w:cs="Times New Roman"/>
          <w:i/>
          <w:sz w:val="20"/>
          <w:szCs w:val="20"/>
        </w:rPr>
        <w:t>Totalità e infinito. Saggio sull’esteriorità</w:t>
      </w:r>
      <w:r>
        <w:rPr>
          <w:rFonts w:ascii="Times New Roman" w:hAnsi="Times New Roman" w:cs="Times New Roman"/>
          <w:sz w:val="20"/>
          <w:szCs w:val="20"/>
        </w:rPr>
        <w:t xml:space="preserve">, </w:t>
      </w:r>
      <w:proofErr w:type="spellStart"/>
      <w:r>
        <w:rPr>
          <w:rFonts w:ascii="Times New Roman" w:hAnsi="Times New Roman" w:cs="Times New Roman"/>
          <w:sz w:val="20"/>
          <w:szCs w:val="20"/>
        </w:rPr>
        <w:t>Jaca</w:t>
      </w:r>
      <w:proofErr w:type="spellEnd"/>
      <w:r>
        <w:rPr>
          <w:rFonts w:ascii="Times New Roman" w:hAnsi="Times New Roman" w:cs="Times New Roman"/>
          <w:sz w:val="20"/>
          <w:szCs w:val="20"/>
        </w:rPr>
        <w:t xml:space="preserve"> Book, Milano 1990, 62.</w:t>
      </w:r>
    </w:p>
  </w:footnote>
  <w:footnote w:id="4">
    <w:p w:rsidR="00D75B76" w:rsidRDefault="00D75B76" w:rsidP="00D75B76">
      <w:pPr>
        <w:pStyle w:val="Testonotaapidipagina"/>
        <w:jc w:val="both"/>
        <w:rPr>
          <w:rFonts w:ascii="Times New Roman" w:hAnsi="Times New Roman" w:cs="Times New Roman"/>
          <w:lang w:val="en-US"/>
        </w:rPr>
      </w:pPr>
      <w:r>
        <w:rPr>
          <w:rStyle w:val="Rimandonotaapidipagina"/>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rPr>
        <w:t xml:space="preserve">Già in </w:t>
      </w:r>
      <w:r>
        <w:rPr>
          <w:rFonts w:ascii="Times New Roman" w:hAnsi="Times New Roman" w:cs="Times New Roman"/>
          <w:i/>
        </w:rPr>
        <w:t>Simpatia e rispetto</w:t>
      </w:r>
      <w:r>
        <w:rPr>
          <w:rFonts w:ascii="Times New Roman" w:hAnsi="Times New Roman" w:cs="Times New Roman"/>
        </w:rPr>
        <w:t xml:space="preserve">, </w:t>
      </w:r>
      <w:proofErr w:type="spellStart"/>
      <w:r>
        <w:rPr>
          <w:rFonts w:ascii="Times New Roman" w:hAnsi="Times New Roman" w:cs="Times New Roman"/>
        </w:rPr>
        <w:t>Ricoeur</w:t>
      </w:r>
      <w:proofErr w:type="spellEnd"/>
      <w:r>
        <w:rPr>
          <w:rFonts w:ascii="Times New Roman" w:hAnsi="Times New Roman" w:cs="Times New Roman"/>
        </w:rPr>
        <w:t xml:space="preserve"> mostrava le difficoltà in cui si viene a trovare l’empatia, in quanto non si dà ragione dell’irriducibilità tra l’io e l’altro. L’empatia cerca di trovare il senso dell’altro a partire dall’io presupponendo una similitudine che non potrà mai darsi: l’altro non potrà ridursi alla sfera del proprio. Diversa, ma presente, la critica nei confronti della simpatia così come viene intesa da </w:t>
      </w:r>
      <w:proofErr w:type="spellStart"/>
      <w:r>
        <w:rPr>
          <w:rFonts w:ascii="Times New Roman" w:hAnsi="Times New Roman" w:cs="Times New Roman"/>
        </w:rPr>
        <w:t>Scheler</w:t>
      </w:r>
      <w:proofErr w:type="spellEnd"/>
      <w:r>
        <w:rPr>
          <w:rFonts w:ascii="Times New Roman" w:hAnsi="Times New Roman" w:cs="Times New Roman"/>
        </w:rPr>
        <w:t xml:space="preserve"> in </w:t>
      </w:r>
      <w:r>
        <w:rPr>
          <w:rFonts w:ascii="Times New Roman" w:hAnsi="Times New Roman" w:cs="Times New Roman"/>
          <w:i/>
        </w:rPr>
        <w:t>Essenza e forme della simpatia</w:t>
      </w:r>
      <w:r>
        <w:rPr>
          <w:rFonts w:ascii="Times New Roman" w:hAnsi="Times New Roman" w:cs="Times New Roman"/>
        </w:rPr>
        <w:t xml:space="preserve">. Ciò che </w:t>
      </w:r>
      <w:proofErr w:type="spellStart"/>
      <w:r>
        <w:rPr>
          <w:rFonts w:ascii="Times New Roman" w:hAnsi="Times New Roman" w:cs="Times New Roman"/>
        </w:rPr>
        <w:t>Ricoeur</w:t>
      </w:r>
      <w:proofErr w:type="spellEnd"/>
      <w:r>
        <w:rPr>
          <w:rFonts w:ascii="Times New Roman" w:hAnsi="Times New Roman" w:cs="Times New Roman"/>
        </w:rPr>
        <w:t xml:space="preserve"> riconosce e non discute è il co-sentire, il sentimento intersoggettivo, la partecipazione vera da non confondere con l’aspetto affettivo. La critica di </w:t>
      </w:r>
      <w:proofErr w:type="spellStart"/>
      <w:r>
        <w:rPr>
          <w:rFonts w:ascii="Times New Roman" w:hAnsi="Times New Roman" w:cs="Times New Roman"/>
        </w:rPr>
        <w:t>Ricoeur</w:t>
      </w:r>
      <w:proofErr w:type="spellEnd"/>
      <w:r>
        <w:rPr>
          <w:rFonts w:ascii="Times New Roman" w:hAnsi="Times New Roman" w:cs="Times New Roman"/>
        </w:rPr>
        <w:t xml:space="preserve"> è piuttosto rivolta all’inefficacia della simpatia a fondare una metafisica della persona in quanto emerge sempre l’aspetto della fusione come matrice affettiva della simpatia. </w:t>
      </w:r>
      <w:r>
        <w:rPr>
          <w:rFonts w:ascii="Times New Roman" w:hAnsi="Times New Roman" w:cs="Times New Roman"/>
          <w:lang w:val="en-US"/>
        </w:rPr>
        <w:t xml:space="preserve">Cf. P. </w:t>
      </w:r>
      <w:proofErr w:type="spellStart"/>
      <w:r>
        <w:rPr>
          <w:rFonts w:ascii="Times New Roman" w:hAnsi="Times New Roman" w:cs="Times New Roman"/>
          <w:lang w:val="en-US"/>
        </w:rPr>
        <w:t>Ricoeur</w:t>
      </w:r>
      <w:proofErr w:type="spellEnd"/>
      <w:r>
        <w:rPr>
          <w:rFonts w:ascii="Times New Roman" w:hAnsi="Times New Roman" w:cs="Times New Roman"/>
          <w:lang w:val="en-US"/>
        </w:rPr>
        <w:t xml:space="preserve">, </w:t>
      </w:r>
      <w:proofErr w:type="spellStart"/>
      <w:r>
        <w:rPr>
          <w:rFonts w:ascii="Times New Roman" w:hAnsi="Times New Roman" w:cs="Times New Roman"/>
          <w:i/>
          <w:lang w:val="en-US"/>
        </w:rPr>
        <w:t>Simphatie</w:t>
      </w:r>
      <w:proofErr w:type="spellEnd"/>
      <w:r>
        <w:rPr>
          <w:rFonts w:ascii="Times New Roman" w:hAnsi="Times New Roman" w:cs="Times New Roman"/>
          <w:i/>
          <w:lang w:val="en-US"/>
        </w:rPr>
        <w:t xml:space="preserve"> et Respect: </w:t>
      </w:r>
      <w:proofErr w:type="spellStart"/>
      <w:r>
        <w:rPr>
          <w:rFonts w:ascii="Times New Roman" w:hAnsi="Times New Roman" w:cs="Times New Roman"/>
          <w:i/>
          <w:lang w:val="en-US"/>
        </w:rPr>
        <w:t>Phénoménologie</w:t>
      </w:r>
      <w:proofErr w:type="spellEnd"/>
      <w:r>
        <w:rPr>
          <w:rFonts w:ascii="Times New Roman" w:hAnsi="Times New Roman" w:cs="Times New Roman"/>
          <w:i/>
          <w:lang w:val="en-US"/>
        </w:rPr>
        <w:t xml:space="preserve"> et </w:t>
      </w:r>
      <w:proofErr w:type="spellStart"/>
      <w:r>
        <w:rPr>
          <w:rFonts w:ascii="Times New Roman" w:hAnsi="Times New Roman" w:cs="Times New Roman"/>
          <w:i/>
          <w:lang w:val="en-US"/>
        </w:rPr>
        <w:t>éthique</w:t>
      </w:r>
      <w:proofErr w:type="spellEnd"/>
      <w:r>
        <w:rPr>
          <w:rFonts w:ascii="Times New Roman" w:hAnsi="Times New Roman" w:cs="Times New Roman"/>
          <w:i/>
          <w:lang w:val="en-US"/>
        </w:rPr>
        <w:t xml:space="preserve"> de la </w:t>
      </w:r>
      <w:proofErr w:type="spellStart"/>
      <w:r>
        <w:rPr>
          <w:rFonts w:ascii="Times New Roman" w:hAnsi="Times New Roman" w:cs="Times New Roman"/>
          <w:i/>
          <w:lang w:val="en-US"/>
        </w:rPr>
        <w:t>seconde</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personne</w:t>
      </w:r>
      <w:proofErr w:type="spellEnd"/>
      <w:r>
        <w:rPr>
          <w:rFonts w:ascii="Times New Roman" w:hAnsi="Times New Roman" w:cs="Times New Roman"/>
          <w:lang w:val="en-US"/>
        </w:rPr>
        <w:t xml:space="preserve">, in Revue de </w:t>
      </w:r>
      <w:proofErr w:type="spellStart"/>
      <w:r>
        <w:rPr>
          <w:rFonts w:ascii="Times New Roman" w:hAnsi="Times New Roman" w:cs="Times New Roman"/>
          <w:lang w:val="en-US"/>
        </w:rPr>
        <w:t>Métaphysique</w:t>
      </w:r>
      <w:proofErr w:type="spellEnd"/>
      <w:r>
        <w:rPr>
          <w:rFonts w:ascii="Times New Roman" w:hAnsi="Times New Roman" w:cs="Times New Roman"/>
          <w:lang w:val="en-US"/>
        </w:rPr>
        <w:t xml:space="preserve"> et de Moral 59 (1954)384-385.</w:t>
      </w:r>
    </w:p>
  </w:footnote>
  <w:footnote w:id="5">
    <w:p w:rsidR="00D75B76" w:rsidRDefault="00D75B76" w:rsidP="00D75B76">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F. Riva (a cura di), </w:t>
      </w:r>
      <w:r>
        <w:rPr>
          <w:rFonts w:ascii="Times New Roman" w:hAnsi="Times New Roman" w:cs="Times New Roman"/>
          <w:i/>
        </w:rPr>
        <w:t>Il pensiero dell’altro</w:t>
      </w:r>
      <w:r>
        <w:rPr>
          <w:rFonts w:ascii="Times New Roman" w:hAnsi="Times New Roman" w:cs="Times New Roman"/>
        </w:rPr>
        <w:t>, Edizioni Lavoro, Roma 2010, LVII.</w:t>
      </w:r>
    </w:p>
  </w:footnote>
  <w:footnote w:id="6">
    <w:p w:rsidR="00D75B76" w:rsidRDefault="00D75B76" w:rsidP="00D75B76">
      <w:pPr>
        <w:pStyle w:val="Testonotaapidipagina"/>
        <w:jc w:val="both"/>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P. </w:t>
      </w:r>
      <w:proofErr w:type="spellStart"/>
      <w:r>
        <w:rPr>
          <w:rFonts w:ascii="Times New Roman" w:hAnsi="Times New Roman" w:cs="Times New Roman"/>
        </w:rPr>
        <w:t>Ricoeur</w:t>
      </w:r>
      <w:proofErr w:type="spellEnd"/>
      <w:r>
        <w:rPr>
          <w:rFonts w:ascii="Times New Roman" w:hAnsi="Times New Roman" w:cs="Times New Roman"/>
        </w:rPr>
        <w:t xml:space="preserve">, </w:t>
      </w:r>
      <w:r>
        <w:rPr>
          <w:rFonts w:ascii="Times New Roman" w:hAnsi="Times New Roman" w:cs="Times New Roman"/>
          <w:i/>
        </w:rPr>
        <w:t>Sé come un altro</w:t>
      </w:r>
      <w:r>
        <w:rPr>
          <w:rFonts w:ascii="Times New Roman" w:hAnsi="Times New Roman" w:cs="Times New Roman"/>
        </w:rPr>
        <w:t xml:space="preserve">, </w:t>
      </w:r>
      <w:proofErr w:type="spellStart"/>
      <w:r>
        <w:rPr>
          <w:rFonts w:ascii="Times New Roman" w:hAnsi="Times New Roman" w:cs="Times New Roman"/>
        </w:rPr>
        <w:t>Jaca</w:t>
      </w:r>
      <w:proofErr w:type="spellEnd"/>
      <w:r>
        <w:rPr>
          <w:rFonts w:ascii="Times New Roman" w:hAnsi="Times New Roman" w:cs="Times New Roman"/>
        </w:rPr>
        <w:t xml:space="preserve"> Book, Milano 2001, 78.</w:t>
      </w:r>
    </w:p>
  </w:footnote>
  <w:footnote w:id="7">
    <w:p w:rsidR="00D75B76" w:rsidRDefault="00D75B76" w:rsidP="00D75B76">
      <w:pPr>
        <w:pStyle w:val="Testonotaapidipagina"/>
        <w:jc w:val="both"/>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Cf</w:t>
      </w:r>
      <w:proofErr w:type="spellEnd"/>
      <w:r>
        <w:rPr>
          <w:rFonts w:ascii="Times New Roman" w:hAnsi="Times New Roman" w:cs="Times New Roman"/>
        </w:rPr>
        <w:t xml:space="preserve">. C. Peri, </w:t>
      </w:r>
      <w:r>
        <w:rPr>
          <w:rFonts w:ascii="Times New Roman" w:hAnsi="Times New Roman" w:cs="Times New Roman"/>
          <w:i/>
        </w:rPr>
        <w:t xml:space="preserve">L’uomo è un altro come </w:t>
      </w:r>
      <w:proofErr w:type="gramStart"/>
      <w:r>
        <w:rPr>
          <w:rFonts w:ascii="Times New Roman" w:hAnsi="Times New Roman" w:cs="Times New Roman"/>
          <w:i/>
        </w:rPr>
        <w:t>se</w:t>
      </w:r>
      <w:proofErr w:type="gramEnd"/>
      <w:r>
        <w:rPr>
          <w:rFonts w:ascii="Times New Roman" w:hAnsi="Times New Roman" w:cs="Times New Roman"/>
          <w:i/>
        </w:rPr>
        <w:t xml:space="preserve"> stesso</w:t>
      </w:r>
      <w:r>
        <w:rPr>
          <w:rFonts w:ascii="Times New Roman" w:hAnsi="Times New Roman" w:cs="Times New Roman"/>
        </w:rPr>
        <w:t>, Salvatore Sciascia editore, Caltanissetta-Roma 2002, 238.</w:t>
      </w:r>
    </w:p>
  </w:footnote>
  <w:footnote w:id="8">
    <w:p w:rsidR="00D75B76" w:rsidRDefault="00D75B76" w:rsidP="00D75B76">
      <w:pPr>
        <w:pStyle w:val="Testonotaapidipagina"/>
        <w:jc w:val="both"/>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Cf</w:t>
      </w:r>
      <w:proofErr w:type="spellEnd"/>
      <w:r>
        <w:rPr>
          <w:rFonts w:ascii="Times New Roman" w:hAnsi="Times New Roman" w:cs="Times New Roman"/>
        </w:rPr>
        <w:t xml:space="preserve">. </w:t>
      </w:r>
      <w:proofErr w:type="spellStart"/>
      <w:r>
        <w:rPr>
          <w:rFonts w:ascii="Times New Roman" w:hAnsi="Times New Roman" w:cs="Times New Roman"/>
        </w:rPr>
        <w:t>Ib</w:t>
      </w:r>
      <w:proofErr w:type="spellEnd"/>
      <w:r>
        <w:rPr>
          <w:rFonts w:ascii="Times New Roman" w:hAnsi="Times New Roman" w:cs="Times New Roman"/>
        </w:rPr>
        <w:t>., 240-241.</w:t>
      </w:r>
    </w:p>
  </w:footnote>
  <w:footnote w:id="9">
    <w:p w:rsidR="00D75B76" w:rsidRDefault="00D75B76" w:rsidP="00D75B76">
      <w:pPr>
        <w:pStyle w:val="Testonotaapidipagina"/>
        <w:jc w:val="both"/>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Cf</w:t>
      </w:r>
      <w:proofErr w:type="spellEnd"/>
      <w:r>
        <w:rPr>
          <w:rFonts w:ascii="Times New Roman" w:hAnsi="Times New Roman" w:cs="Times New Roman"/>
        </w:rPr>
        <w:t xml:space="preserve">. </w:t>
      </w:r>
      <w:proofErr w:type="spellStart"/>
      <w:r>
        <w:rPr>
          <w:rFonts w:ascii="Times New Roman" w:hAnsi="Times New Roman" w:cs="Times New Roman"/>
        </w:rPr>
        <w:t>Ib</w:t>
      </w:r>
      <w:proofErr w:type="spellEnd"/>
      <w:r>
        <w:rPr>
          <w:rFonts w:ascii="Times New Roman" w:hAnsi="Times New Roman" w:cs="Times New Roman"/>
        </w:rPr>
        <w:t>., 246.</w:t>
      </w:r>
    </w:p>
  </w:footnote>
  <w:footnote w:id="10">
    <w:p w:rsidR="00D75B76" w:rsidRDefault="00D75B76" w:rsidP="00D75B76">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Ib</w:t>
      </w:r>
      <w:proofErr w:type="spellEnd"/>
      <w:r>
        <w:rPr>
          <w:rFonts w:ascii="Times New Roman" w:hAnsi="Times New Roman" w:cs="Times New Roman"/>
        </w:rPr>
        <w:t>., 256.</w:t>
      </w:r>
    </w:p>
  </w:footnote>
  <w:footnote w:id="11">
    <w:p w:rsidR="00D75B76" w:rsidRDefault="00D75B76" w:rsidP="00D75B76">
      <w:pPr>
        <w:pStyle w:val="Testonotaapidipagina"/>
      </w:pPr>
      <w:r>
        <w:rPr>
          <w:rStyle w:val="Rimandonotaapidipagina"/>
        </w:rPr>
        <w:footnoteRef/>
      </w:r>
      <w:r>
        <w:t xml:space="preserve"> </w:t>
      </w:r>
      <w:proofErr w:type="spellStart"/>
      <w:r>
        <w:rPr>
          <w:rFonts w:ascii="Times New Roman" w:hAnsi="Times New Roman" w:cs="Times New Roman"/>
        </w:rPr>
        <w:t>Cf</w:t>
      </w:r>
      <w:proofErr w:type="spellEnd"/>
      <w:r>
        <w:rPr>
          <w:rFonts w:ascii="Times New Roman" w:hAnsi="Times New Roman" w:cs="Times New Roman"/>
        </w:rPr>
        <w:t xml:space="preserve">. </w:t>
      </w:r>
      <w:proofErr w:type="spellStart"/>
      <w:r>
        <w:rPr>
          <w:rFonts w:ascii="Times New Roman" w:hAnsi="Times New Roman" w:cs="Times New Roman"/>
        </w:rPr>
        <w:t>Ib</w:t>
      </w:r>
      <w:proofErr w:type="spellEnd"/>
      <w:r>
        <w:rPr>
          <w:rFonts w:ascii="Times New Roman" w:hAnsi="Times New Roman" w:cs="Times New Roman"/>
        </w:rPr>
        <w:t>., 266.</w:t>
      </w:r>
    </w:p>
  </w:footnote>
  <w:footnote w:id="12">
    <w:p w:rsidR="00D75B76" w:rsidRDefault="00D75B76" w:rsidP="00D75B76">
      <w:pPr>
        <w:pStyle w:val="Testonotaapidipagina"/>
        <w:rPr>
          <w:rFonts w:ascii="Times New Roman" w:hAnsi="Times New Roman" w:cs="Times New Roman"/>
        </w:rPr>
      </w:pPr>
      <w:r>
        <w:rPr>
          <w:rStyle w:val="Rimandonotaapidipagina"/>
        </w:rPr>
        <w:footnoteRef/>
      </w:r>
      <w:r>
        <w:t xml:space="preserve"> </w:t>
      </w:r>
      <w:proofErr w:type="spellStart"/>
      <w:r>
        <w:rPr>
          <w:rFonts w:ascii="Times New Roman" w:hAnsi="Times New Roman" w:cs="Times New Roman"/>
        </w:rPr>
        <w:t>Ib</w:t>
      </w:r>
      <w:proofErr w:type="spellEnd"/>
      <w:r>
        <w:rPr>
          <w:rFonts w:ascii="Times New Roman" w:hAnsi="Times New Roman" w:cs="Times New Roman"/>
        </w:rPr>
        <w:t>., 270.</w:t>
      </w:r>
    </w:p>
  </w:footnote>
  <w:footnote w:id="13">
    <w:p w:rsidR="00D75B76" w:rsidRDefault="00D75B76" w:rsidP="00D75B76">
      <w:pPr>
        <w:pStyle w:val="Testonotaapidipagina"/>
        <w:rPr>
          <w:rFonts w:ascii="Times New Roman" w:hAnsi="Times New Roman" w:cs="Times New Roman"/>
        </w:rPr>
      </w:pPr>
      <w:r>
        <w:rPr>
          <w:rStyle w:val="Rimandonotaapidipagina"/>
        </w:rPr>
        <w:footnoteRef/>
      </w:r>
      <w:r>
        <w:t xml:space="preserve"> </w:t>
      </w:r>
      <w:proofErr w:type="spellStart"/>
      <w:r>
        <w:rPr>
          <w:rFonts w:ascii="Times New Roman" w:hAnsi="Times New Roman" w:cs="Times New Roman"/>
        </w:rPr>
        <w:t>Cf</w:t>
      </w:r>
      <w:proofErr w:type="spellEnd"/>
      <w:r>
        <w:rPr>
          <w:rFonts w:ascii="Times New Roman" w:hAnsi="Times New Roman" w:cs="Times New Roman"/>
        </w:rPr>
        <w:t xml:space="preserve">. </w:t>
      </w:r>
      <w:proofErr w:type="spellStart"/>
      <w:r>
        <w:rPr>
          <w:rFonts w:ascii="Times New Roman" w:hAnsi="Times New Roman" w:cs="Times New Roman"/>
        </w:rPr>
        <w:t>Ib</w:t>
      </w:r>
      <w:proofErr w:type="spellEnd"/>
      <w:r>
        <w:rPr>
          <w:rFonts w:ascii="Times New Roman" w:hAnsi="Times New Roman" w:cs="Times New Roman"/>
        </w:rPr>
        <w:t>., 274.</w:t>
      </w:r>
    </w:p>
  </w:footnote>
  <w:footnote w:id="14">
    <w:p w:rsidR="00D75B76" w:rsidRDefault="00D75B76" w:rsidP="00D75B76">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Ib</w:t>
      </w:r>
      <w:proofErr w:type="spellEnd"/>
      <w:r>
        <w:rPr>
          <w:rFonts w:ascii="Times New Roman" w:hAnsi="Times New Roman" w:cs="Times New Roman"/>
        </w:rPr>
        <w:t>., 290-291.</w:t>
      </w:r>
    </w:p>
  </w:footnote>
  <w:footnote w:id="15">
    <w:p w:rsidR="00D75B76" w:rsidRDefault="00D75B76" w:rsidP="00D75B76">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Ib</w:t>
      </w:r>
      <w:proofErr w:type="spellEnd"/>
      <w:r>
        <w:rPr>
          <w:rFonts w:ascii="Times New Roman" w:hAnsi="Times New Roman" w:cs="Times New Roman"/>
        </w:rPr>
        <w:t>, 293.</w:t>
      </w:r>
    </w:p>
  </w:footnote>
  <w:footnote w:id="16">
    <w:p w:rsidR="00D75B76" w:rsidRDefault="00D75B76" w:rsidP="00D75B76">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Cf</w:t>
      </w:r>
      <w:proofErr w:type="spellEnd"/>
      <w:r>
        <w:rPr>
          <w:rFonts w:ascii="Times New Roman" w:hAnsi="Times New Roman" w:cs="Times New Roman"/>
        </w:rPr>
        <w:t xml:space="preserve">. </w:t>
      </w:r>
      <w:proofErr w:type="spellStart"/>
      <w:r>
        <w:rPr>
          <w:rFonts w:ascii="Times New Roman" w:hAnsi="Times New Roman" w:cs="Times New Roman"/>
        </w:rPr>
        <w:t>Ib</w:t>
      </w:r>
      <w:proofErr w:type="spellEnd"/>
      <w:r>
        <w:rPr>
          <w:rFonts w:ascii="Times New Roman" w:hAnsi="Times New Roman" w:cs="Times New Roman"/>
        </w:rPr>
        <w:t>, 293-299.</w:t>
      </w:r>
    </w:p>
  </w:footnote>
  <w:footnote w:id="17">
    <w:p w:rsidR="00D75B76" w:rsidRDefault="00D75B76" w:rsidP="00D75B76">
      <w:pPr>
        <w:pStyle w:val="Testonotaapidipagina"/>
      </w:pPr>
      <w:r>
        <w:rPr>
          <w:rStyle w:val="Rimandonotaapidipagina"/>
        </w:rPr>
        <w:footnoteRef/>
      </w:r>
      <w:r>
        <w:t xml:space="preserve"> </w:t>
      </w:r>
      <w:proofErr w:type="spellStart"/>
      <w:r>
        <w:rPr>
          <w:rFonts w:ascii="Times New Roman" w:hAnsi="Times New Roman" w:cs="Times New Roman"/>
        </w:rPr>
        <w:t>Cf</w:t>
      </w:r>
      <w:proofErr w:type="spellEnd"/>
      <w:r>
        <w:rPr>
          <w:rFonts w:ascii="Times New Roman" w:hAnsi="Times New Roman" w:cs="Times New Roman"/>
        </w:rPr>
        <w:t xml:space="preserve">. </w:t>
      </w:r>
      <w:proofErr w:type="spellStart"/>
      <w:r>
        <w:rPr>
          <w:rFonts w:ascii="Times New Roman" w:hAnsi="Times New Roman" w:cs="Times New Roman"/>
        </w:rPr>
        <w:t>Ib</w:t>
      </w:r>
      <w:proofErr w:type="spellEnd"/>
      <w:r>
        <w:rPr>
          <w:rFonts w:ascii="Times New Roman" w:hAnsi="Times New Roman" w:cs="Times New Roman"/>
        </w:rPr>
        <w:t>., 291.</w:t>
      </w:r>
    </w:p>
  </w:footnote>
  <w:footnote w:id="18">
    <w:p w:rsidR="00D75B76" w:rsidRDefault="00D75B76" w:rsidP="00D75B76">
      <w:pPr>
        <w:pStyle w:val="Testonotaapidipagina"/>
        <w:jc w:val="both"/>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V. Melchiorre, </w:t>
      </w:r>
      <w:r>
        <w:rPr>
          <w:rFonts w:ascii="Times New Roman" w:hAnsi="Times New Roman" w:cs="Times New Roman"/>
          <w:i/>
        </w:rPr>
        <w:t>Per un’ermeneutica della persona</w:t>
      </w:r>
      <w:r>
        <w:rPr>
          <w:rFonts w:ascii="Times New Roman" w:hAnsi="Times New Roman" w:cs="Times New Roman"/>
        </w:rPr>
        <w:t xml:space="preserve">, in </w:t>
      </w:r>
      <w:r>
        <w:rPr>
          <w:rFonts w:ascii="Times New Roman" w:hAnsi="Times New Roman" w:cs="Times New Roman"/>
          <w:i/>
        </w:rPr>
        <w:t>Corpo e persona</w:t>
      </w:r>
      <w:r>
        <w:rPr>
          <w:rFonts w:ascii="Times New Roman" w:hAnsi="Times New Roman" w:cs="Times New Roman"/>
        </w:rPr>
        <w:t>, Marietti, Genova 1991</w:t>
      </w:r>
      <w:r>
        <w:rPr>
          <w:rFonts w:ascii="Times New Roman" w:hAnsi="Times New Roman" w:cs="Times New Roman"/>
          <w:vertAlign w:val="superscript"/>
        </w:rPr>
        <w:t>2</w:t>
      </w:r>
      <w:r>
        <w:rPr>
          <w:rFonts w:ascii="Times New Roman" w:hAnsi="Times New Roman" w:cs="Times New Roman"/>
        </w:rPr>
        <w:t xml:space="preserve">, 32. Si veda anche: I. </w:t>
      </w:r>
      <w:proofErr w:type="spellStart"/>
      <w:r>
        <w:rPr>
          <w:rFonts w:ascii="Times New Roman" w:hAnsi="Times New Roman" w:cs="Times New Roman"/>
        </w:rPr>
        <w:t>Sciuto</w:t>
      </w:r>
      <w:proofErr w:type="spellEnd"/>
      <w:r>
        <w:rPr>
          <w:rFonts w:ascii="Times New Roman" w:hAnsi="Times New Roman" w:cs="Times New Roman"/>
        </w:rPr>
        <w:t xml:space="preserve">, </w:t>
      </w:r>
      <w:r>
        <w:rPr>
          <w:rFonts w:ascii="Times New Roman" w:hAnsi="Times New Roman" w:cs="Times New Roman"/>
          <w:i/>
        </w:rPr>
        <w:t>Etica della finitezza e idea di persona</w:t>
      </w:r>
      <w:r>
        <w:rPr>
          <w:rFonts w:ascii="Times New Roman" w:hAnsi="Times New Roman" w:cs="Times New Roman"/>
        </w:rPr>
        <w:t xml:space="preserve">, in </w:t>
      </w:r>
      <w:proofErr w:type="spellStart"/>
      <w:proofErr w:type="gramStart"/>
      <w:r>
        <w:rPr>
          <w:rFonts w:ascii="Times New Roman" w:hAnsi="Times New Roman" w:cs="Times New Roman"/>
        </w:rPr>
        <w:t>F.Botturi</w:t>
      </w:r>
      <w:proofErr w:type="gramEnd"/>
      <w:r>
        <w:rPr>
          <w:rFonts w:ascii="Times New Roman" w:hAnsi="Times New Roman" w:cs="Times New Roman"/>
        </w:rPr>
        <w:t>-F.Totaro-C.Vigna</w:t>
      </w:r>
      <w:proofErr w:type="spellEnd"/>
      <w:r>
        <w:rPr>
          <w:rFonts w:ascii="Times New Roman" w:hAnsi="Times New Roman" w:cs="Times New Roman"/>
        </w:rPr>
        <w:t xml:space="preserve"> (a cura di), </w:t>
      </w:r>
      <w:r>
        <w:rPr>
          <w:rFonts w:ascii="Times New Roman" w:hAnsi="Times New Roman" w:cs="Times New Roman"/>
          <w:i/>
        </w:rPr>
        <w:t>La persona e i nomi dell’essere. Scritti di filosofia in onore di Virgilio Melchiorre</w:t>
      </w:r>
      <w:r>
        <w:rPr>
          <w:rFonts w:ascii="Times New Roman" w:hAnsi="Times New Roman" w:cs="Times New Roman"/>
        </w:rPr>
        <w:t>, I, Vita e pensiero, Milano 2002, 659-673.</w:t>
      </w:r>
    </w:p>
  </w:footnote>
  <w:footnote w:id="19">
    <w:p w:rsidR="00D75B76" w:rsidRDefault="00D75B76" w:rsidP="00D75B76">
      <w:pPr>
        <w:pStyle w:val="Testonotaapidipagina"/>
      </w:pPr>
      <w:r>
        <w:rPr>
          <w:rStyle w:val="Rimandonotaapidipagina"/>
        </w:rPr>
        <w:footnoteRef/>
      </w:r>
      <w:r>
        <w:t xml:space="preserve"> </w:t>
      </w:r>
      <w:r>
        <w:rPr>
          <w:rFonts w:ascii="Times New Roman" w:hAnsi="Times New Roman" w:cs="Times New Roman"/>
        </w:rPr>
        <w:t xml:space="preserve">V. Melchiorre, </w:t>
      </w:r>
      <w:r>
        <w:rPr>
          <w:rFonts w:ascii="Times New Roman" w:hAnsi="Times New Roman" w:cs="Times New Roman"/>
          <w:i/>
        </w:rPr>
        <w:t>Per un’ermeneutica della persona</w:t>
      </w:r>
      <w:r>
        <w:rPr>
          <w:rFonts w:ascii="Times New Roman" w:hAnsi="Times New Roman" w:cs="Times New Roman"/>
        </w:rPr>
        <w:t xml:space="preserve">, in </w:t>
      </w:r>
      <w:r>
        <w:rPr>
          <w:rFonts w:ascii="Times New Roman" w:hAnsi="Times New Roman" w:cs="Times New Roman"/>
          <w:i/>
        </w:rPr>
        <w:t>Corpo e persona</w:t>
      </w:r>
      <w:r>
        <w:rPr>
          <w:rFonts w:ascii="Times New Roman" w:hAnsi="Times New Roman" w:cs="Times New Roman"/>
        </w:rPr>
        <w:t>, 32-33.</w:t>
      </w:r>
    </w:p>
  </w:footnote>
  <w:footnote w:id="20">
    <w:p w:rsidR="00D75B76" w:rsidRDefault="00D75B76" w:rsidP="00D75B76">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V. Melchiorre, </w:t>
      </w:r>
      <w:r>
        <w:rPr>
          <w:rFonts w:ascii="Times New Roman" w:hAnsi="Times New Roman" w:cs="Times New Roman"/>
          <w:i/>
        </w:rPr>
        <w:t>Breviario di metafisica</w:t>
      </w:r>
      <w:r>
        <w:rPr>
          <w:rFonts w:ascii="Times New Roman" w:hAnsi="Times New Roman" w:cs="Times New Roman"/>
        </w:rPr>
        <w:t xml:space="preserve">, </w:t>
      </w:r>
      <w:proofErr w:type="spellStart"/>
      <w:r>
        <w:rPr>
          <w:rFonts w:ascii="Times New Roman" w:hAnsi="Times New Roman" w:cs="Times New Roman"/>
        </w:rPr>
        <w:t>Morcelliana</w:t>
      </w:r>
      <w:proofErr w:type="spellEnd"/>
      <w:r>
        <w:rPr>
          <w:rFonts w:ascii="Times New Roman" w:hAnsi="Times New Roman" w:cs="Times New Roman"/>
        </w:rPr>
        <w:t>, Brescia 2011, 122-123.</w:t>
      </w:r>
    </w:p>
  </w:footnote>
  <w:footnote w:id="21">
    <w:p w:rsidR="00D75B76" w:rsidRDefault="00D75B76" w:rsidP="00D75B76">
      <w:pPr>
        <w:pStyle w:val="Testonotaapidipagina"/>
      </w:pPr>
      <w:r>
        <w:rPr>
          <w:rStyle w:val="Rimandonotaapidipagina"/>
        </w:rPr>
        <w:footnoteRef/>
      </w:r>
      <w:r>
        <w:t xml:space="preserve"> </w:t>
      </w:r>
      <w:proofErr w:type="spellStart"/>
      <w:r>
        <w:rPr>
          <w:rFonts w:ascii="Times New Roman" w:hAnsi="Times New Roman" w:cs="Times New Roman"/>
        </w:rPr>
        <w:t>Ib</w:t>
      </w:r>
      <w:proofErr w:type="spellEnd"/>
      <w:r>
        <w:rPr>
          <w:rFonts w:ascii="Times New Roman" w:hAnsi="Times New Roman" w:cs="Times New Roman"/>
        </w:rPr>
        <w:t>., 123-124.</w:t>
      </w:r>
    </w:p>
  </w:footnote>
  <w:footnote w:id="22">
    <w:p w:rsidR="00D75B76" w:rsidRDefault="00D75B76" w:rsidP="00D75B76">
      <w:pPr>
        <w:pStyle w:val="Testonotaapidipagina"/>
      </w:pPr>
      <w:r>
        <w:rPr>
          <w:rStyle w:val="Rimandonotaapidipagina"/>
        </w:rPr>
        <w:footnoteRef/>
      </w:r>
      <w:r>
        <w:t xml:space="preserve"> </w:t>
      </w:r>
      <w:proofErr w:type="spellStart"/>
      <w:r>
        <w:rPr>
          <w:rFonts w:ascii="Times New Roman" w:hAnsi="Times New Roman" w:cs="Times New Roman"/>
        </w:rPr>
        <w:t>Ib</w:t>
      </w:r>
      <w:proofErr w:type="spellEnd"/>
      <w:r>
        <w:rPr>
          <w:rFonts w:ascii="Times New Roman" w:hAnsi="Times New Roman" w:cs="Times New Roman"/>
        </w:rPr>
        <w:t>., 124.</w:t>
      </w:r>
    </w:p>
  </w:footnote>
  <w:footnote w:id="23">
    <w:p w:rsidR="00D75B76" w:rsidRDefault="00D75B76" w:rsidP="00D75B76">
      <w:pPr>
        <w:pStyle w:val="Testonotaapidipagina"/>
      </w:pPr>
      <w:r>
        <w:rPr>
          <w:rStyle w:val="Rimandonotaapidipagina"/>
        </w:rPr>
        <w:footnoteRef/>
      </w:r>
      <w:r>
        <w:t xml:space="preserve"> </w:t>
      </w:r>
      <w:proofErr w:type="spellStart"/>
      <w:r>
        <w:rPr>
          <w:rFonts w:ascii="Times New Roman" w:hAnsi="Times New Roman" w:cs="Times New Roman"/>
        </w:rPr>
        <w:t>Ib</w:t>
      </w:r>
      <w:proofErr w:type="spellEnd"/>
      <w:r>
        <w:rPr>
          <w:rFonts w:ascii="Times New Roman" w:hAnsi="Times New Roman" w:cs="Times New Roman"/>
        </w:rPr>
        <w:t>., 125.</w:t>
      </w:r>
    </w:p>
  </w:footnote>
  <w:footnote w:id="24">
    <w:p w:rsidR="00D75B76" w:rsidRDefault="00D75B76" w:rsidP="00D75B76">
      <w:pPr>
        <w:pStyle w:val="Testonotaapidipagina"/>
      </w:pPr>
      <w:r>
        <w:rPr>
          <w:rStyle w:val="Rimandonotaapidipagina"/>
        </w:rPr>
        <w:footnoteRef/>
      </w:r>
      <w:r>
        <w:t xml:space="preserve"> </w:t>
      </w:r>
      <w:proofErr w:type="spellStart"/>
      <w:r>
        <w:t>Cf</w:t>
      </w:r>
      <w:proofErr w:type="spellEnd"/>
      <w:r>
        <w:t xml:space="preserve">. </w:t>
      </w:r>
      <w:proofErr w:type="spellStart"/>
      <w:r>
        <w:rPr>
          <w:rFonts w:ascii="Times New Roman" w:hAnsi="Times New Roman" w:cs="Times New Roman"/>
        </w:rPr>
        <w:t>Ib</w:t>
      </w:r>
      <w:proofErr w:type="spellEnd"/>
      <w:r>
        <w:rPr>
          <w:rFonts w:ascii="Times New Roman" w:hAnsi="Times New Roman" w:cs="Times New Roman"/>
        </w:rPr>
        <w:t>., 126-127.</w:t>
      </w:r>
    </w:p>
  </w:footnote>
  <w:footnote w:id="25">
    <w:p w:rsidR="00D75B76" w:rsidRDefault="00D75B76" w:rsidP="00D75B76">
      <w:pPr>
        <w:pStyle w:val="Testonotaapidipagina"/>
      </w:pPr>
      <w:r>
        <w:rPr>
          <w:rStyle w:val="Rimandonotaapidipagina"/>
        </w:rPr>
        <w:footnoteRef/>
      </w:r>
      <w:r>
        <w:t xml:space="preserve"> </w:t>
      </w:r>
      <w:proofErr w:type="spellStart"/>
      <w:r>
        <w:rPr>
          <w:rFonts w:ascii="Times New Roman" w:hAnsi="Times New Roman" w:cs="Times New Roman"/>
        </w:rPr>
        <w:t>Ib</w:t>
      </w:r>
      <w:proofErr w:type="spellEnd"/>
      <w:r>
        <w:rPr>
          <w:rFonts w:ascii="Times New Roman" w:hAnsi="Times New Roman" w:cs="Times New Roman"/>
        </w:rPr>
        <w:t>., 138.</w:t>
      </w:r>
    </w:p>
  </w:footnote>
  <w:footnote w:id="26">
    <w:p w:rsidR="00D75B76" w:rsidRDefault="00D75B76" w:rsidP="00D75B76">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Cf</w:t>
      </w:r>
      <w:proofErr w:type="spellEnd"/>
      <w:r>
        <w:rPr>
          <w:rFonts w:ascii="Times New Roman" w:hAnsi="Times New Roman" w:cs="Times New Roman"/>
        </w:rPr>
        <w:t xml:space="preserve">. C. Peri, </w:t>
      </w:r>
      <w:r>
        <w:rPr>
          <w:rFonts w:ascii="Times New Roman" w:hAnsi="Times New Roman" w:cs="Times New Roman"/>
          <w:i/>
        </w:rPr>
        <w:t xml:space="preserve">L’uomo è un altro come </w:t>
      </w:r>
      <w:proofErr w:type="gramStart"/>
      <w:r>
        <w:rPr>
          <w:rFonts w:ascii="Times New Roman" w:hAnsi="Times New Roman" w:cs="Times New Roman"/>
          <w:i/>
        </w:rPr>
        <w:t>se</w:t>
      </w:r>
      <w:proofErr w:type="gramEnd"/>
      <w:r>
        <w:rPr>
          <w:rFonts w:ascii="Times New Roman" w:hAnsi="Times New Roman" w:cs="Times New Roman"/>
          <w:i/>
        </w:rPr>
        <w:t xml:space="preserve"> stesso</w:t>
      </w:r>
      <w:r>
        <w:rPr>
          <w:rFonts w:ascii="Times New Roman" w:hAnsi="Times New Roman" w:cs="Times New Roman"/>
        </w:rPr>
        <w:t>, 307-308.</w:t>
      </w:r>
    </w:p>
  </w:footnote>
  <w:footnote w:id="27">
    <w:p w:rsidR="00D75B76" w:rsidRDefault="00D75B76" w:rsidP="00D75B76">
      <w:pPr>
        <w:pStyle w:val="Testonotaapidipagina"/>
      </w:pPr>
      <w:r>
        <w:rPr>
          <w:rStyle w:val="Rimandonotaapidipagina"/>
        </w:rPr>
        <w:footnoteRef/>
      </w:r>
      <w:r>
        <w:t xml:space="preserve"> </w:t>
      </w:r>
      <w:r>
        <w:rPr>
          <w:rFonts w:ascii="Times New Roman" w:hAnsi="Times New Roman" w:cs="Times New Roman"/>
        </w:rPr>
        <w:t xml:space="preserve">S. Weil, </w:t>
      </w:r>
      <w:r>
        <w:rPr>
          <w:rFonts w:ascii="Times New Roman" w:hAnsi="Times New Roman" w:cs="Times New Roman"/>
          <w:i/>
        </w:rPr>
        <w:t>La persona e il sacro</w:t>
      </w:r>
      <w:r>
        <w:rPr>
          <w:rFonts w:ascii="Times New Roman" w:hAnsi="Times New Roman" w:cs="Times New Roman"/>
        </w:rPr>
        <w:t>, Adelphi, Milano 2012, 13.</w:t>
      </w:r>
    </w:p>
  </w:footnote>
  <w:footnote w:id="28">
    <w:p w:rsidR="00D75B76" w:rsidRDefault="00D75B76" w:rsidP="00D75B76">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V. Melchiorre, </w:t>
      </w:r>
      <w:r>
        <w:rPr>
          <w:rFonts w:ascii="Times New Roman" w:hAnsi="Times New Roman" w:cs="Times New Roman"/>
          <w:i/>
        </w:rPr>
        <w:t>Persona ed etica</w:t>
      </w:r>
      <w:r>
        <w:rPr>
          <w:rFonts w:ascii="Times New Roman" w:hAnsi="Times New Roman" w:cs="Times New Roman"/>
        </w:rPr>
        <w:t xml:space="preserve">, in Id. (a cura di), </w:t>
      </w:r>
      <w:r>
        <w:rPr>
          <w:rFonts w:ascii="Times New Roman" w:hAnsi="Times New Roman" w:cs="Times New Roman"/>
          <w:i/>
        </w:rPr>
        <w:t>L’idea di persona</w:t>
      </w:r>
      <w:r>
        <w:rPr>
          <w:rFonts w:ascii="Times New Roman" w:hAnsi="Times New Roman" w:cs="Times New Roman"/>
        </w:rPr>
        <w:t>, Vita e pensiero, Milano 1996, 151.</w:t>
      </w:r>
    </w:p>
  </w:footnote>
  <w:footnote w:id="29">
    <w:p w:rsidR="00D75B76" w:rsidRDefault="00D75B76" w:rsidP="00D75B76">
      <w:pPr>
        <w:pStyle w:val="Testonotaapidipagina"/>
        <w:rPr>
          <w:rFonts w:ascii="Times New Roman" w:hAnsi="Times New Roman" w:cs="Times New Roman"/>
        </w:rPr>
      </w:pPr>
      <w:r>
        <w:rPr>
          <w:rStyle w:val="Rimandonotaapidipagina"/>
        </w:rPr>
        <w:footnoteRef/>
      </w:r>
      <w:r>
        <w:t xml:space="preserve"> </w:t>
      </w:r>
      <w:proofErr w:type="spellStart"/>
      <w:r>
        <w:rPr>
          <w:rFonts w:ascii="Times New Roman" w:hAnsi="Times New Roman" w:cs="Times New Roman"/>
        </w:rPr>
        <w:t>Cf</w:t>
      </w:r>
      <w:proofErr w:type="spellEnd"/>
      <w:r>
        <w:rPr>
          <w:rFonts w:ascii="Times New Roman" w:hAnsi="Times New Roman" w:cs="Times New Roman"/>
        </w:rPr>
        <w:t xml:space="preserve">. Sofocle, </w:t>
      </w:r>
      <w:r>
        <w:rPr>
          <w:rFonts w:ascii="Times New Roman" w:hAnsi="Times New Roman" w:cs="Times New Roman"/>
          <w:i/>
        </w:rPr>
        <w:t>Antigone</w:t>
      </w:r>
      <w:r>
        <w:rPr>
          <w:rFonts w:ascii="Times New Roman" w:hAnsi="Times New Roman" w:cs="Times New Roman"/>
        </w:rPr>
        <w:t xml:space="preserve">, </w:t>
      </w:r>
      <w:proofErr w:type="spellStart"/>
      <w:r>
        <w:rPr>
          <w:rFonts w:ascii="Times New Roman" w:hAnsi="Times New Roman" w:cs="Times New Roman"/>
        </w:rPr>
        <w:t>vv</w:t>
      </w:r>
      <w:proofErr w:type="spellEnd"/>
      <w:r>
        <w:rPr>
          <w:rFonts w:ascii="Times New Roman" w:hAnsi="Times New Roman" w:cs="Times New Roman"/>
        </w:rPr>
        <w:t>. 450-525.</w:t>
      </w:r>
    </w:p>
  </w:footnote>
  <w:footnote w:id="30">
    <w:p w:rsidR="00D75B76" w:rsidRDefault="00D75B76" w:rsidP="00D75B76">
      <w:pPr>
        <w:pStyle w:val="Testonotaapidipagina"/>
        <w:rPr>
          <w:i/>
        </w:rPr>
      </w:pPr>
      <w:r>
        <w:rPr>
          <w:rStyle w:val="Rimandonotaapidipagina"/>
        </w:rPr>
        <w:footnoteRef/>
      </w:r>
      <w:r>
        <w:t xml:space="preserve"> </w:t>
      </w:r>
      <w:r>
        <w:rPr>
          <w:rFonts w:ascii="Times New Roman" w:hAnsi="Times New Roman" w:cs="Times New Roman"/>
        </w:rPr>
        <w:t xml:space="preserve">S. Weil, </w:t>
      </w:r>
      <w:r>
        <w:rPr>
          <w:rFonts w:ascii="Times New Roman" w:hAnsi="Times New Roman" w:cs="Times New Roman"/>
          <w:i/>
        </w:rPr>
        <w:t>La persona e il sacro</w:t>
      </w:r>
      <w:r>
        <w:rPr>
          <w:rFonts w:ascii="Times New Roman" w:hAnsi="Times New Roman" w:cs="Times New Roman"/>
        </w:rPr>
        <w:t>, 30-31.</w:t>
      </w:r>
    </w:p>
  </w:footnote>
  <w:footnote w:id="31">
    <w:p w:rsidR="00D75B76" w:rsidRDefault="00D75B76" w:rsidP="00D75B76">
      <w:pPr>
        <w:pStyle w:val="Testonotaapidipagina"/>
        <w:rPr>
          <w:rFonts w:ascii="Times New Roman" w:hAnsi="Times New Roman" w:cs="Times New Roman"/>
        </w:rPr>
      </w:pPr>
      <w:r>
        <w:rPr>
          <w:rStyle w:val="Rimandonotaapidipagina"/>
        </w:rPr>
        <w:footnoteRef/>
      </w:r>
      <w:r>
        <w:t xml:space="preserve"> </w:t>
      </w:r>
      <w:proofErr w:type="spellStart"/>
      <w:r>
        <w:rPr>
          <w:rFonts w:ascii="Times New Roman" w:hAnsi="Times New Roman" w:cs="Times New Roman"/>
        </w:rPr>
        <w:t>Cf</w:t>
      </w:r>
      <w:proofErr w:type="spellEnd"/>
      <w:r>
        <w:rPr>
          <w:rFonts w:ascii="Times New Roman" w:hAnsi="Times New Roman" w:cs="Times New Roman"/>
        </w:rPr>
        <w:t xml:space="preserve">. A. Buttarelli, </w:t>
      </w:r>
      <w:r>
        <w:rPr>
          <w:rFonts w:ascii="Times New Roman" w:hAnsi="Times New Roman" w:cs="Times New Roman"/>
          <w:i/>
        </w:rPr>
        <w:t>Una filosofa innamorata. Maria Zambrano e i suoi insegnamenti</w:t>
      </w:r>
      <w:r>
        <w:rPr>
          <w:rFonts w:ascii="Times New Roman" w:hAnsi="Times New Roman" w:cs="Times New Roman"/>
        </w:rPr>
        <w:t>, Bruno Mondadori, Milano 2004, 99-100.</w:t>
      </w:r>
    </w:p>
  </w:footnote>
  <w:footnote w:id="32">
    <w:p w:rsidR="00D75B76" w:rsidRDefault="00D75B76" w:rsidP="00D75B76">
      <w:pPr>
        <w:pStyle w:val="Testonotaapidipagina"/>
        <w:rPr>
          <w:rFonts w:ascii="Times New Roman" w:hAnsi="Times New Roman" w:cs="Times New Roman"/>
        </w:rPr>
      </w:pPr>
      <w:r>
        <w:rPr>
          <w:rStyle w:val="Rimandonotaapidipagina"/>
        </w:rPr>
        <w:footnoteRef/>
      </w:r>
      <w:r>
        <w:t xml:space="preserve"> </w:t>
      </w:r>
      <w:r>
        <w:rPr>
          <w:rFonts w:ascii="Times New Roman" w:hAnsi="Times New Roman" w:cs="Times New Roman"/>
        </w:rPr>
        <w:t xml:space="preserve">M. Zambrano, </w:t>
      </w:r>
      <w:r>
        <w:rPr>
          <w:rFonts w:ascii="Times New Roman" w:hAnsi="Times New Roman" w:cs="Times New Roman"/>
          <w:i/>
        </w:rPr>
        <w:t>L’uomo e il divino</w:t>
      </w:r>
      <w:r>
        <w:rPr>
          <w:rFonts w:ascii="Times New Roman" w:hAnsi="Times New Roman" w:cs="Times New Roman"/>
        </w:rPr>
        <w:t>, Edizioni Lavoro, 2008, 197.</w:t>
      </w:r>
    </w:p>
  </w:footnote>
  <w:footnote w:id="33">
    <w:p w:rsidR="00D75B76" w:rsidRDefault="00D75B76" w:rsidP="00D75B76">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M. Zambrano, </w:t>
      </w:r>
      <w:r>
        <w:rPr>
          <w:rFonts w:ascii="Times New Roman" w:hAnsi="Times New Roman" w:cs="Times New Roman"/>
          <w:i/>
        </w:rPr>
        <w:t>Il sogno creatore</w:t>
      </w:r>
      <w:r>
        <w:rPr>
          <w:rFonts w:ascii="Times New Roman" w:hAnsi="Times New Roman" w:cs="Times New Roman"/>
        </w:rPr>
        <w:t>, Bruno Mondadori, Milano 2002, 108-109.</w:t>
      </w:r>
    </w:p>
  </w:footnote>
  <w:footnote w:id="34">
    <w:p w:rsidR="00D75B76" w:rsidRDefault="00D75B76" w:rsidP="00D75B76">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Cf</w:t>
      </w:r>
      <w:proofErr w:type="spellEnd"/>
      <w:r>
        <w:rPr>
          <w:rFonts w:ascii="Times New Roman" w:hAnsi="Times New Roman" w:cs="Times New Roman"/>
        </w:rPr>
        <w:t xml:space="preserve">. L. </w:t>
      </w:r>
      <w:proofErr w:type="spellStart"/>
      <w:r>
        <w:rPr>
          <w:rFonts w:ascii="Times New Roman" w:hAnsi="Times New Roman" w:cs="Times New Roman"/>
        </w:rPr>
        <w:t>Irigaray</w:t>
      </w:r>
      <w:proofErr w:type="spellEnd"/>
      <w:r>
        <w:rPr>
          <w:rFonts w:ascii="Times New Roman" w:hAnsi="Times New Roman" w:cs="Times New Roman"/>
        </w:rPr>
        <w:t xml:space="preserve">, </w:t>
      </w:r>
      <w:r>
        <w:rPr>
          <w:rFonts w:ascii="Times New Roman" w:hAnsi="Times New Roman" w:cs="Times New Roman"/>
          <w:i/>
        </w:rPr>
        <w:t>All’inizio, lei</w:t>
      </w:r>
      <w:bookmarkStart w:id="0" w:name="_GoBack"/>
      <w:bookmarkEnd w:id="0"/>
      <w:r>
        <w:rPr>
          <w:rFonts w:ascii="Times New Roman" w:hAnsi="Times New Roman" w:cs="Times New Roman"/>
          <w:i/>
        </w:rPr>
        <w:t xml:space="preserve"> era</w:t>
      </w:r>
      <w:r>
        <w:rPr>
          <w:rFonts w:ascii="Times New Roman" w:hAnsi="Times New Roman" w:cs="Times New Roman"/>
        </w:rPr>
        <w:t xml:space="preserve">, Bollati </w:t>
      </w:r>
      <w:proofErr w:type="spellStart"/>
      <w:r>
        <w:rPr>
          <w:rFonts w:ascii="Times New Roman" w:hAnsi="Times New Roman" w:cs="Times New Roman"/>
        </w:rPr>
        <w:t>Boringhieri</w:t>
      </w:r>
      <w:proofErr w:type="spellEnd"/>
      <w:r>
        <w:rPr>
          <w:rFonts w:ascii="Times New Roman" w:hAnsi="Times New Roman" w:cs="Times New Roman"/>
        </w:rPr>
        <w:t>, Torino 2013, 127.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705155"/>
      <w:docPartObj>
        <w:docPartGallery w:val="Page Numbers (Top of Page)"/>
        <w:docPartUnique/>
      </w:docPartObj>
    </w:sdtPr>
    <w:sdtContent>
      <w:p w:rsidR="00D75B76" w:rsidRDefault="00D75B76">
        <w:pPr>
          <w:pStyle w:val="Intestazione"/>
          <w:jc w:val="right"/>
        </w:pPr>
        <w:r>
          <w:fldChar w:fldCharType="begin"/>
        </w:r>
        <w:r>
          <w:instrText>PAGE   \* MERGEFORMAT</w:instrText>
        </w:r>
        <w:r>
          <w:fldChar w:fldCharType="separate"/>
        </w:r>
        <w:r w:rsidR="00851A52">
          <w:rPr>
            <w:noProof/>
          </w:rPr>
          <w:t>10</w:t>
        </w:r>
        <w:r>
          <w:fldChar w:fldCharType="end"/>
        </w:r>
      </w:p>
    </w:sdtContent>
  </w:sdt>
  <w:p w:rsidR="00D75B76" w:rsidRDefault="00D75B7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B76"/>
    <w:rsid w:val="004571F6"/>
    <w:rsid w:val="0056232D"/>
    <w:rsid w:val="005B23FC"/>
    <w:rsid w:val="007225AF"/>
    <w:rsid w:val="00851A52"/>
    <w:rsid w:val="009263D6"/>
    <w:rsid w:val="009D526E"/>
    <w:rsid w:val="00A008DD"/>
    <w:rsid w:val="00D75B76"/>
    <w:rsid w:val="00F50E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385D7"/>
  <w15:chartTrackingRefBased/>
  <w15:docId w15:val="{1ABF7556-023D-48A5-A201-D4198481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5B76"/>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D75B7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semiHidden/>
    <w:rsid w:val="00D75B76"/>
    <w:rPr>
      <w:sz w:val="20"/>
      <w:szCs w:val="20"/>
    </w:rPr>
  </w:style>
  <w:style w:type="paragraph" w:styleId="Nessunaspaziatura">
    <w:name w:val="No Spacing"/>
    <w:uiPriority w:val="1"/>
    <w:qFormat/>
    <w:rsid w:val="00D75B76"/>
    <w:pPr>
      <w:spacing w:after="0" w:line="240" w:lineRule="auto"/>
    </w:pPr>
  </w:style>
  <w:style w:type="character" w:styleId="Rimandonotaapidipagina">
    <w:name w:val="footnote reference"/>
    <w:basedOn w:val="Carpredefinitoparagrafo"/>
    <w:semiHidden/>
    <w:unhideWhenUsed/>
    <w:rsid w:val="00D75B76"/>
    <w:rPr>
      <w:vertAlign w:val="superscript"/>
    </w:rPr>
  </w:style>
  <w:style w:type="paragraph" w:styleId="Intestazione">
    <w:name w:val="header"/>
    <w:basedOn w:val="Normale"/>
    <w:link w:val="IntestazioneCarattere"/>
    <w:uiPriority w:val="99"/>
    <w:unhideWhenUsed/>
    <w:rsid w:val="00D75B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5B76"/>
  </w:style>
  <w:style w:type="paragraph" w:styleId="Pidipagina">
    <w:name w:val="footer"/>
    <w:basedOn w:val="Normale"/>
    <w:link w:val="PidipaginaCarattere"/>
    <w:uiPriority w:val="99"/>
    <w:unhideWhenUsed/>
    <w:rsid w:val="00D75B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5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70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10</Pages>
  <Words>3953</Words>
  <Characters>22536</Characters>
  <Application>Microsoft Office Word</Application>
  <DocSecurity>0</DocSecurity>
  <Lines>187</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Pia Viola</dc:creator>
  <cp:keywords/>
  <dc:description/>
  <cp:lastModifiedBy>Anna Pia Viola</cp:lastModifiedBy>
  <cp:revision>3</cp:revision>
  <dcterms:created xsi:type="dcterms:W3CDTF">2023-03-15T09:43:00Z</dcterms:created>
  <dcterms:modified xsi:type="dcterms:W3CDTF">2023-03-15T10:40:00Z</dcterms:modified>
</cp:coreProperties>
</file>